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theme/themeOverride1.xml" ContentType="application/vnd.openxmlformats-officedocument.themeOverrid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5849" w:rsidRPr="00F86DCD" w:rsidRDefault="00F86DCD" w:rsidP="00F86DCD">
      <w:pPr>
        <w:pStyle w:val="IEEETitle"/>
        <w:spacing w:after="240"/>
        <w:rPr>
          <w:b/>
          <w:sz w:val="28"/>
          <w:szCs w:val="28"/>
          <w:lang w:val="en-GB"/>
        </w:rPr>
      </w:pPr>
      <w:r w:rsidRPr="00F86DCD">
        <w:rPr>
          <w:rStyle w:val="shorttext"/>
          <w:b/>
          <w:sz w:val="28"/>
          <w:szCs w:val="28"/>
          <w:shd w:val="clear" w:color="auto" w:fill="FFFFFF"/>
        </w:rPr>
        <w:t>Analisis Indikator Pendidikan: Partisipasi Pendidikan</w:t>
      </w:r>
      <w:r w:rsidRPr="00F86DCD">
        <w:rPr>
          <w:rStyle w:val="shorttext"/>
          <w:b/>
          <w:sz w:val="28"/>
          <w:szCs w:val="28"/>
          <w:shd w:val="clear" w:color="auto" w:fill="FFFFFF"/>
          <w:lang w:val="en-GB"/>
        </w:rPr>
        <w:t xml:space="preserve"> </w:t>
      </w:r>
      <w:proofErr w:type="spellStart"/>
      <w:r w:rsidRPr="00F86DCD">
        <w:rPr>
          <w:rStyle w:val="shorttext"/>
          <w:b/>
          <w:sz w:val="28"/>
          <w:szCs w:val="28"/>
          <w:shd w:val="clear" w:color="auto" w:fill="FFFFFF"/>
          <w:lang w:val="en-GB"/>
        </w:rPr>
        <w:t>di</w:t>
      </w:r>
      <w:proofErr w:type="spellEnd"/>
      <w:r w:rsidRPr="00F86DCD">
        <w:rPr>
          <w:rStyle w:val="shorttext"/>
          <w:b/>
          <w:sz w:val="28"/>
          <w:szCs w:val="28"/>
          <w:shd w:val="clear" w:color="auto" w:fill="FFFFFF"/>
          <w:lang w:val="en-GB"/>
        </w:rPr>
        <w:t xml:space="preserve"> Indonesia</w:t>
      </w:r>
      <w:r w:rsidRPr="00F86DCD">
        <w:rPr>
          <w:rStyle w:val="shorttext"/>
          <w:b/>
          <w:sz w:val="28"/>
          <w:szCs w:val="28"/>
          <w:shd w:val="clear" w:color="auto" w:fill="FFFFFF"/>
        </w:rPr>
        <w:t xml:space="preserve"> Periode 1994-2018</w:t>
      </w:r>
    </w:p>
    <w:p w:rsidR="00795849" w:rsidRPr="000C537E" w:rsidRDefault="000C537E" w:rsidP="000C537E">
      <w:pPr>
        <w:spacing w:after="0" w:line="276" w:lineRule="auto"/>
        <w:ind w:right="-5"/>
        <w:jc w:val="center"/>
        <w:rPr>
          <w:rFonts w:ascii="Times New Roman" w:hAnsi="Times New Roman" w:cs="Times New Roman"/>
          <w:b/>
          <w:bCs/>
          <w:color w:val="000000"/>
          <w:sz w:val="24"/>
          <w:szCs w:val="24"/>
          <w:vertAlign w:val="superscript"/>
          <w:lang w:val="en-US"/>
        </w:rPr>
      </w:pPr>
      <w:r>
        <w:rPr>
          <w:rFonts w:ascii="Times New Roman" w:hAnsi="Times New Roman" w:cs="Times New Roman"/>
          <w:b/>
          <w:bCs/>
          <w:color w:val="000000"/>
          <w:sz w:val="24"/>
          <w:szCs w:val="24"/>
          <w:lang w:val="en-US"/>
        </w:rPr>
        <w:t>Abdul Fatah</w:t>
      </w:r>
      <w:r>
        <w:rPr>
          <w:rFonts w:ascii="Times New Roman" w:hAnsi="Times New Roman" w:cs="Times New Roman"/>
          <w:b/>
          <w:bCs/>
          <w:color w:val="000000"/>
          <w:sz w:val="24"/>
          <w:szCs w:val="24"/>
          <w:vertAlign w:val="superscript"/>
          <w:lang w:val="en-US"/>
        </w:rPr>
        <w:t>1</w:t>
      </w:r>
      <w:proofErr w:type="gramStart"/>
      <w:r>
        <w:rPr>
          <w:rFonts w:ascii="Times New Roman" w:hAnsi="Times New Roman" w:cs="Times New Roman"/>
          <w:b/>
          <w:bCs/>
          <w:color w:val="000000"/>
          <w:sz w:val="24"/>
          <w:szCs w:val="24"/>
          <w:lang w:val="en-US"/>
        </w:rPr>
        <w:t xml:space="preserve">, </w:t>
      </w:r>
      <w:r w:rsidR="00795849" w:rsidRPr="00795849">
        <w:rPr>
          <w:rFonts w:ascii="Times New Roman" w:hAnsi="Times New Roman" w:cs="Times New Roman"/>
          <w:b/>
          <w:bCs/>
          <w:color w:val="000000"/>
          <w:sz w:val="24"/>
          <w:szCs w:val="24"/>
          <w:lang w:val="en-US"/>
        </w:rPr>
        <w:t xml:space="preserve"> </w:t>
      </w:r>
      <w:r>
        <w:rPr>
          <w:rFonts w:ascii="Times New Roman" w:hAnsi="Times New Roman" w:cs="Times New Roman"/>
          <w:b/>
          <w:bCs/>
          <w:color w:val="000000"/>
          <w:sz w:val="24"/>
          <w:szCs w:val="24"/>
          <w:lang w:val="en-US"/>
        </w:rPr>
        <w:t>Muhammad</w:t>
      </w:r>
      <w:proofErr w:type="gramEnd"/>
      <w:r>
        <w:rPr>
          <w:rFonts w:ascii="Times New Roman" w:hAnsi="Times New Roman" w:cs="Times New Roman"/>
          <w:b/>
          <w:bCs/>
          <w:color w:val="000000"/>
          <w:sz w:val="24"/>
          <w:szCs w:val="24"/>
          <w:lang w:val="en-US"/>
        </w:rPr>
        <w:t xml:space="preserve"> Suhaili</w:t>
      </w:r>
      <w:r>
        <w:rPr>
          <w:rFonts w:ascii="Times New Roman" w:hAnsi="Times New Roman" w:cs="Times New Roman"/>
          <w:b/>
          <w:bCs/>
          <w:color w:val="000000"/>
          <w:sz w:val="24"/>
          <w:szCs w:val="24"/>
          <w:vertAlign w:val="superscript"/>
          <w:lang w:val="en-US"/>
        </w:rPr>
        <w:t>2</w:t>
      </w:r>
      <w:r w:rsidR="00EC0C2C" w:rsidRPr="00EC0C2C">
        <w:rPr>
          <w:rFonts w:ascii="Times New Roman" w:hAnsi="Times New Roman" w:cs="Times New Roman"/>
          <w:b/>
          <w:bCs/>
          <w:color w:val="000000"/>
          <w:sz w:val="24"/>
          <w:szCs w:val="24"/>
          <w:lang w:val="en-US"/>
        </w:rPr>
        <w:t xml:space="preserve">, </w:t>
      </w:r>
      <w:r w:rsidR="00EC0C2C">
        <w:rPr>
          <w:rFonts w:ascii="Times New Roman" w:hAnsi="Times New Roman" w:cs="Times New Roman"/>
          <w:b/>
          <w:bCs/>
          <w:color w:val="000000"/>
          <w:sz w:val="24"/>
          <w:szCs w:val="24"/>
          <w:vertAlign w:val="superscript"/>
          <w:lang w:val="en-US"/>
        </w:rPr>
        <w:t>3</w:t>
      </w:r>
      <w:r w:rsidR="00EC0C2C" w:rsidRPr="00EC0C2C">
        <w:rPr>
          <w:rFonts w:ascii="Times New Roman" w:hAnsi="Times New Roman" w:cs="Times New Roman"/>
          <w:b/>
          <w:bCs/>
          <w:color w:val="000000"/>
          <w:sz w:val="24"/>
          <w:szCs w:val="24"/>
          <w:lang w:val="en-US"/>
        </w:rPr>
        <w:t xml:space="preserve">Isna </w:t>
      </w:r>
      <w:proofErr w:type="spellStart"/>
      <w:r w:rsidR="00EC0C2C" w:rsidRPr="00EC0C2C">
        <w:rPr>
          <w:rFonts w:ascii="Times New Roman" w:hAnsi="Times New Roman" w:cs="Times New Roman"/>
          <w:b/>
          <w:bCs/>
          <w:color w:val="000000"/>
          <w:sz w:val="24"/>
          <w:szCs w:val="24"/>
          <w:lang w:val="en-US"/>
        </w:rPr>
        <w:t>Farida</w:t>
      </w:r>
      <w:proofErr w:type="spellEnd"/>
    </w:p>
    <w:p w:rsidR="00795849" w:rsidRPr="0023051F" w:rsidRDefault="0023051F" w:rsidP="00795849">
      <w:pPr>
        <w:spacing w:after="0" w:line="276" w:lineRule="auto"/>
        <w:ind w:right="-5"/>
        <w:jc w:val="center"/>
        <w:rPr>
          <w:rFonts w:ascii="Times New Roman" w:hAnsi="Times New Roman" w:cs="Times New Roman"/>
          <w:color w:val="000000"/>
          <w:sz w:val="24"/>
          <w:szCs w:val="24"/>
          <w:lang w:val="en-US"/>
        </w:rPr>
      </w:pPr>
      <w:r w:rsidRPr="0023051F">
        <w:rPr>
          <w:rFonts w:ascii="Times New Roman" w:hAnsi="Times New Roman" w:cs="Times New Roman"/>
          <w:color w:val="000000"/>
          <w:sz w:val="24"/>
          <w:szCs w:val="24"/>
          <w:vertAlign w:val="superscript"/>
          <w:lang w:val="en-US"/>
        </w:rPr>
        <w:t>1</w:t>
      </w:r>
      <w:r w:rsidRPr="0023051F">
        <w:rPr>
          <w:rFonts w:ascii="Times New Roman" w:hAnsi="Times New Roman" w:cs="Times New Roman"/>
          <w:color w:val="000000"/>
          <w:sz w:val="24"/>
          <w:szCs w:val="24"/>
          <w:lang w:val="en-US"/>
        </w:rPr>
        <w:t xml:space="preserve">MTs </w:t>
      </w:r>
      <w:proofErr w:type="spellStart"/>
      <w:r w:rsidRPr="0023051F">
        <w:rPr>
          <w:rFonts w:ascii="Times New Roman" w:hAnsi="Times New Roman" w:cs="Times New Roman"/>
          <w:color w:val="000000"/>
          <w:sz w:val="24"/>
          <w:szCs w:val="24"/>
          <w:lang w:val="en-US"/>
        </w:rPr>
        <w:t>Negeri</w:t>
      </w:r>
      <w:proofErr w:type="spellEnd"/>
      <w:r w:rsidRPr="0023051F">
        <w:rPr>
          <w:rFonts w:ascii="Times New Roman" w:hAnsi="Times New Roman" w:cs="Times New Roman"/>
          <w:color w:val="000000"/>
          <w:sz w:val="24"/>
          <w:szCs w:val="24"/>
          <w:lang w:val="en-US"/>
        </w:rPr>
        <w:t xml:space="preserve"> 1 Lombok Tengah, </w:t>
      </w:r>
      <w:proofErr w:type="spellStart"/>
      <w:r w:rsidRPr="0023051F">
        <w:rPr>
          <w:rFonts w:ascii="Times New Roman" w:hAnsi="Times New Roman" w:cs="Times New Roman"/>
          <w:color w:val="000000"/>
          <w:sz w:val="24"/>
          <w:szCs w:val="24"/>
          <w:lang w:val="en-US"/>
        </w:rPr>
        <w:t>Kemenag</w:t>
      </w:r>
      <w:proofErr w:type="spellEnd"/>
      <w:r w:rsidRPr="0023051F">
        <w:rPr>
          <w:rFonts w:ascii="Times New Roman" w:hAnsi="Times New Roman" w:cs="Times New Roman"/>
          <w:color w:val="000000"/>
          <w:sz w:val="24"/>
          <w:szCs w:val="24"/>
          <w:lang w:val="en-US"/>
        </w:rPr>
        <w:t xml:space="preserve"> </w:t>
      </w:r>
      <w:proofErr w:type="spellStart"/>
      <w:r w:rsidRPr="0023051F">
        <w:rPr>
          <w:rFonts w:ascii="Times New Roman" w:hAnsi="Times New Roman" w:cs="Times New Roman"/>
          <w:color w:val="000000"/>
          <w:sz w:val="24"/>
          <w:szCs w:val="24"/>
          <w:lang w:val="en-US"/>
        </w:rPr>
        <w:t>Kabupaten</w:t>
      </w:r>
      <w:proofErr w:type="spellEnd"/>
      <w:r w:rsidRPr="0023051F">
        <w:rPr>
          <w:rFonts w:ascii="Times New Roman" w:hAnsi="Times New Roman" w:cs="Times New Roman"/>
          <w:color w:val="000000"/>
          <w:sz w:val="24"/>
          <w:szCs w:val="24"/>
          <w:lang w:val="en-US"/>
        </w:rPr>
        <w:t xml:space="preserve"> Lombok Tengah</w:t>
      </w:r>
    </w:p>
    <w:p w:rsidR="0023051F" w:rsidRDefault="0023051F" w:rsidP="00795849">
      <w:pPr>
        <w:spacing w:after="0" w:line="276" w:lineRule="auto"/>
        <w:ind w:right="-5"/>
        <w:jc w:val="center"/>
        <w:rPr>
          <w:rFonts w:ascii="Times New Roman" w:hAnsi="Times New Roman" w:cs="Times New Roman"/>
          <w:color w:val="000000"/>
          <w:sz w:val="24"/>
          <w:szCs w:val="24"/>
          <w:lang w:val="en-US"/>
        </w:rPr>
      </w:pPr>
      <w:r w:rsidRPr="0023051F">
        <w:rPr>
          <w:rFonts w:ascii="Times New Roman" w:hAnsi="Times New Roman" w:cs="Times New Roman"/>
          <w:color w:val="000000"/>
          <w:sz w:val="24"/>
          <w:szCs w:val="24"/>
          <w:vertAlign w:val="superscript"/>
          <w:lang w:val="en-US"/>
        </w:rPr>
        <w:t>2</w:t>
      </w:r>
      <w:r w:rsidRPr="0023051F">
        <w:rPr>
          <w:rFonts w:ascii="Times New Roman" w:hAnsi="Times New Roman" w:cs="Times New Roman"/>
          <w:color w:val="000000"/>
          <w:sz w:val="24"/>
          <w:szCs w:val="24"/>
          <w:lang w:val="en-US"/>
        </w:rPr>
        <w:t xml:space="preserve">MA </w:t>
      </w:r>
      <w:proofErr w:type="spellStart"/>
      <w:r w:rsidRPr="0023051F">
        <w:rPr>
          <w:rFonts w:ascii="Times New Roman" w:hAnsi="Times New Roman" w:cs="Times New Roman"/>
          <w:color w:val="000000"/>
          <w:sz w:val="24"/>
          <w:szCs w:val="24"/>
          <w:lang w:val="en-US"/>
        </w:rPr>
        <w:t>Negeri</w:t>
      </w:r>
      <w:proofErr w:type="spellEnd"/>
      <w:r w:rsidRPr="0023051F">
        <w:rPr>
          <w:rFonts w:ascii="Times New Roman" w:hAnsi="Times New Roman" w:cs="Times New Roman"/>
          <w:color w:val="000000"/>
          <w:sz w:val="24"/>
          <w:szCs w:val="24"/>
          <w:lang w:val="en-US"/>
        </w:rPr>
        <w:t xml:space="preserve"> 2 Lombok Tengah, </w:t>
      </w:r>
      <w:proofErr w:type="spellStart"/>
      <w:r w:rsidRPr="0023051F">
        <w:rPr>
          <w:rFonts w:ascii="Times New Roman" w:hAnsi="Times New Roman" w:cs="Times New Roman"/>
          <w:color w:val="000000"/>
          <w:sz w:val="24"/>
          <w:szCs w:val="24"/>
          <w:lang w:val="en-US"/>
        </w:rPr>
        <w:t>Kemenag</w:t>
      </w:r>
      <w:proofErr w:type="spellEnd"/>
      <w:r w:rsidRPr="0023051F">
        <w:rPr>
          <w:rFonts w:ascii="Times New Roman" w:hAnsi="Times New Roman" w:cs="Times New Roman"/>
          <w:color w:val="000000"/>
          <w:sz w:val="24"/>
          <w:szCs w:val="24"/>
          <w:lang w:val="en-US"/>
        </w:rPr>
        <w:t xml:space="preserve"> </w:t>
      </w:r>
      <w:proofErr w:type="spellStart"/>
      <w:r w:rsidRPr="0023051F">
        <w:rPr>
          <w:rFonts w:ascii="Times New Roman" w:hAnsi="Times New Roman" w:cs="Times New Roman"/>
          <w:color w:val="000000"/>
          <w:sz w:val="24"/>
          <w:szCs w:val="24"/>
          <w:lang w:val="en-US"/>
        </w:rPr>
        <w:t>Kabupaten</w:t>
      </w:r>
      <w:proofErr w:type="spellEnd"/>
      <w:r w:rsidRPr="0023051F">
        <w:rPr>
          <w:rFonts w:ascii="Times New Roman" w:hAnsi="Times New Roman" w:cs="Times New Roman"/>
          <w:color w:val="000000"/>
          <w:sz w:val="24"/>
          <w:szCs w:val="24"/>
          <w:lang w:val="en-US"/>
        </w:rPr>
        <w:t xml:space="preserve"> Lombok Tengah</w:t>
      </w:r>
    </w:p>
    <w:p w:rsidR="00EC0C2C" w:rsidRPr="0023051F" w:rsidRDefault="00EC0C2C" w:rsidP="00EC0C2C">
      <w:pPr>
        <w:spacing w:after="0" w:line="276" w:lineRule="auto"/>
        <w:ind w:right="-5"/>
        <w:jc w:val="center"/>
        <w:rPr>
          <w:rFonts w:ascii="Times New Roman" w:hAnsi="Times New Roman" w:cs="Times New Roman"/>
          <w:color w:val="000000"/>
          <w:sz w:val="24"/>
          <w:szCs w:val="24"/>
          <w:lang w:val="en-US"/>
        </w:rPr>
      </w:pPr>
      <w:r w:rsidRPr="00EC0C2C">
        <w:rPr>
          <w:rFonts w:ascii="Times New Roman" w:hAnsi="Times New Roman" w:cs="Times New Roman"/>
          <w:color w:val="000000"/>
          <w:sz w:val="24"/>
          <w:szCs w:val="24"/>
          <w:vertAlign w:val="superscript"/>
          <w:lang w:val="en-US"/>
        </w:rPr>
        <w:t>3</w:t>
      </w:r>
      <w:r>
        <w:rPr>
          <w:rFonts w:ascii="Times New Roman" w:hAnsi="Times New Roman" w:cs="Times New Roman"/>
          <w:color w:val="000000"/>
          <w:sz w:val="24"/>
          <w:szCs w:val="24"/>
          <w:lang w:val="en-US"/>
        </w:rPr>
        <w:t xml:space="preserve">MTs </w:t>
      </w:r>
      <w:proofErr w:type="spellStart"/>
      <w:r>
        <w:rPr>
          <w:rFonts w:ascii="Times New Roman" w:hAnsi="Times New Roman" w:cs="Times New Roman"/>
          <w:color w:val="000000"/>
          <w:sz w:val="24"/>
          <w:szCs w:val="24"/>
          <w:lang w:val="en-US"/>
        </w:rPr>
        <w:t>Negeri</w:t>
      </w:r>
      <w:proofErr w:type="spellEnd"/>
      <w:r>
        <w:rPr>
          <w:rFonts w:ascii="Times New Roman" w:hAnsi="Times New Roman" w:cs="Times New Roman"/>
          <w:color w:val="000000"/>
          <w:sz w:val="24"/>
          <w:szCs w:val="24"/>
          <w:lang w:val="en-US"/>
        </w:rPr>
        <w:t xml:space="preserve"> 1 Lombok Tengah, </w:t>
      </w:r>
      <w:proofErr w:type="spellStart"/>
      <w:r>
        <w:rPr>
          <w:rFonts w:ascii="Times New Roman" w:hAnsi="Times New Roman" w:cs="Times New Roman"/>
          <w:color w:val="000000"/>
          <w:sz w:val="24"/>
          <w:szCs w:val="24"/>
          <w:lang w:val="en-US"/>
        </w:rPr>
        <w:t>Kemenag</w:t>
      </w:r>
      <w:proofErr w:type="spellEnd"/>
      <w:r>
        <w:rPr>
          <w:rFonts w:ascii="Times New Roman" w:hAnsi="Times New Roman" w:cs="Times New Roman"/>
          <w:color w:val="000000"/>
          <w:sz w:val="24"/>
          <w:szCs w:val="24"/>
          <w:lang w:val="en-US"/>
        </w:rPr>
        <w:t xml:space="preserve"> </w:t>
      </w:r>
      <w:proofErr w:type="spellStart"/>
      <w:r>
        <w:rPr>
          <w:rFonts w:ascii="Times New Roman" w:hAnsi="Times New Roman" w:cs="Times New Roman"/>
          <w:color w:val="000000"/>
          <w:sz w:val="24"/>
          <w:szCs w:val="24"/>
          <w:lang w:val="en-US"/>
        </w:rPr>
        <w:t>Kabupaten</w:t>
      </w:r>
      <w:proofErr w:type="spellEnd"/>
      <w:r>
        <w:rPr>
          <w:rFonts w:ascii="Times New Roman" w:hAnsi="Times New Roman" w:cs="Times New Roman"/>
          <w:color w:val="000000"/>
          <w:sz w:val="24"/>
          <w:szCs w:val="24"/>
          <w:lang w:val="en-US"/>
        </w:rPr>
        <w:t xml:space="preserve"> Lombok Tengah</w:t>
      </w:r>
    </w:p>
    <w:p w:rsidR="00552355" w:rsidRPr="0023051F" w:rsidRDefault="00795849" w:rsidP="0023051F">
      <w:pPr>
        <w:spacing w:after="0" w:line="276" w:lineRule="auto"/>
        <w:ind w:right="-5"/>
        <w:jc w:val="center"/>
        <w:rPr>
          <w:rFonts w:ascii="Times New Roman" w:hAnsi="Times New Roman" w:cs="Times New Roman"/>
          <w:color w:val="000000"/>
          <w:sz w:val="24"/>
          <w:szCs w:val="24"/>
          <w:lang w:val="en-US"/>
        </w:rPr>
      </w:pPr>
      <w:r w:rsidRPr="0023051F">
        <w:rPr>
          <w:rFonts w:ascii="Times New Roman" w:hAnsi="Times New Roman" w:cs="Times New Roman"/>
          <w:color w:val="000000"/>
          <w:sz w:val="24"/>
          <w:szCs w:val="24"/>
          <w:lang w:val="en-US"/>
        </w:rPr>
        <w:t xml:space="preserve">*Corresponding Author e-mail: </w:t>
      </w:r>
      <w:r w:rsidR="0023051F" w:rsidRPr="0023051F">
        <w:rPr>
          <w:rFonts w:ascii="Times New Roman" w:hAnsi="Times New Roman" w:cs="Times New Roman"/>
          <w:color w:val="000000"/>
          <w:sz w:val="24"/>
          <w:szCs w:val="24"/>
          <w:lang w:val="en-US"/>
        </w:rPr>
        <w:t>muhammadsuhaili0324</w:t>
      </w:r>
      <w:r w:rsidRPr="0023051F">
        <w:rPr>
          <w:rFonts w:ascii="Times New Roman" w:hAnsi="Times New Roman" w:cs="Times New Roman"/>
          <w:color w:val="000000"/>
          <w:sz w:val="24"/>
          <w:szCs w:val="24"/>
          <w:lang w:val="en-US"/>
        </w:rPr>
        <w:t>@gmail.com</w:t>
      </w:r>
    </w:p>
    <w:p w:rsidR="009F6E9F" w:rsidRPr="008C66DE" w:rsidRDefault="009F6E9F" w:rsidP="000A7B2B">
      <w:pPr>
        <w:spacing w:after="0" w:line="276" w:lineRule="auto"/>
        <w:ind w:right="-5"/>
        <w:jc w:val="center"/>
        <w:rPr>
          <w:rFonts w:ascii="Times New Roman" w:eastAsia="Times New Roman" w:hAnsi="Times New Roman" w:cs="Times New Roman"/>
          <w:i/>
          <w:sz w:val="24"/>
          <w:szCs w:val="24"/>
          <w:lang w:val="en-US"/>
        </w:rPr>
      </w:pPr>
    </w:p>
    <w:tbl>
      <w:tblPr>
        <w:tblW w:w="9108" w:type="dxa"/>
        <w:tblInd w:w="108" w:type="dxa"/>
        <w:tblLook w:val="04A0"/>
      </w:tblPr>
      <w:tblGrid>
        <w:gridCol w:w="6120"/>
        <w:gridCol w:w="2988"/>
      </w:tblGrid>
      <w:tr w:rsidR="009F6E9F" w:rsidRPr="009F6E9F" w:rsidTr="0053364B">
        <w:tc>
          <w:tcPr>
            <w:tcW w:w="6120" w:type="dxa"/>
          </w:tcPr>
          <w:p w:rsidR="00B17385" w:rsidRPr="0023051F" w:rsidRDefault="003C57CB" w:rsidP="0023051F">
            <w:pPr>
              <w:spacing w:after="0" w:line="240" w:lineRule="auto"/>
              <w:ind w:right="95"/>
              <w:jc w:val="both"/>
              <w:rPr>
                <w:rFonts w:asciiTheme="majorBidi" w:hAnsiTheme="majorBidi" w:cstheme="majorBidi"/>
                <w:i/>
                <w:iCs/>
                <w:sz w:val="20"/>
                <w:szCs w:val="20"/>
                <w:lang w:val="en-US"/>
              </w:rPr>
            </w:pPr>
            <w:r w:rsidRPr="0023051F">
              <w:rPr>
                <w:rFonts w:asciiTheme="majorBidi" w:hAnsiTheme="majorBidi" w:cstheme="majorBidi"/>
                <w:b/>
                <w:i/>
                <w:iCs/>
                <w:sz w:val="20"/>
                <w:szCs w:val="20"/>
                <w:lang w:val="en-US"/>
              </w:rPr>
              <w:t>Abstract:</w:t>
            </w:r>
            <w:r w:rsidR="0023051F" w:rsidRPr="0023051F">
              <w:rPr>
                <w:rFonts w:asciiTheme="majorBidi" w:hAnsiTheme="majorBidi" w:cstheme="majorBidi"/>
                <w:b/>
                <w:i/>
                <w:iCs/>
                <w:sz w:val="20"/>
                <w:szCs w:val="20"/>
                <w:lang w:val="en-US"/>
              </w:rPr>
              <w:t xml:space="preserve"> </w:t>
            </w:r>
            <w:r w:rsidR="0023051F" w:rsidRPr="0023051F">
              <w:rPr>
                <w:rFonts w:asciiTheme="majorBidi" w:hAnsiTheme="majorBidi" w:cstheme="majorBidi"/>
                <w:i/>
                <w:iCs/>
                <w:sz w:val="20"/>
                <w:szCs w:val="20"/>
              </w:rPr>
              <w:t>The condition of a country's education can be seen through education indicators. School Participation Rate (</w:t>
            </w:r>
            <w:r w:rsidR="0023051F" w:rsidRPr="0023051F">
              <w:rPr>
                <w:rFonts w:asciiTheme="majorBidi" w:hAnsiTheme="majorBidi" w:cstheme="majorBidi"/>
                <w:i/>
                <w:iCs/>
                <w:sz w:val="20"/>
                <w:szCs w:val="20"/>
                <w:lang w:val="en-GB"/>
              </w:rPr>
              <w:t>SPR</w:t>
            </w:r>
            <w:r w:rsidR="0023051F" w:rsidRPr="0023051F">
              <w:rPr>
                <w:rFonts w:asciiTheme="majorBidi" w:hAnsiTheme="majorBidi" w:cstheme="majorBidi"/>
                <w:i/>
                <w:iCs/>
                <w:sz w:val="20"/>
                <w:szCs w:val="20"/>
              </w:rPr>
              <w:t>), Rough Participation Rate (</w:t>
            </w:r>
            <w:r w:rsidR="0023051F" w:rsidRPr="0023051F">
              <w:rPr>
                <w:rFonts w:asciiTheme="majorBidi" w:hAnsiTheme="majorBidi" w:cstheme="majorBidi"/>
                <w:i/>
                <w:iCs/>
                <w:sz w:val="20"/>
                <w:szCs w:val="20"/>
                <w:lang w:val="en-GB"/>
              </w:rPr>
              <w:t>RPR</w:t>
            </w:r>
            <w:r w:rsidR="0023051F" w:rsidRPr="0023051F">
              <w:rPr>
                <w:rFonts w:asciiTheme="majorBidi" w:hAnsiTheme="majorBidi" w:cstheme="majorBidi"/>
                <w:i/>
                <w:iCs/>
                <w:sz w:val="20"/>
                <w:szCs w:val="20"/>
              </w:rPr>
              <w:t>) and Pure Participation Rate (</w:t>
            </w:r>
            <w:r w:rsidR="0023051F" w:rsidRPr="0023051F">
              <w:rPr>
                <w:rFonts w:asciiTheme="majorBidi" w:hAnsiTheme="majorBidi" w:cstheme="majorBidi"/>
                <w:i/>
                <w:iCs/>
                <w:sz w:val="20"/>
                <w:szCs w:val="20"/>
                <w:lang w:val="en-GB"/>
              </w:rPr>
              <w:t>PPR</w:t>
            </w:r>
            <w:r w:rsidR="0023051F" w:rsidRPr="0023051F">
              <w:rPr>
                <w:rFonts w:asciiTheme="majorBidi" w:hAnsiTheme="majorBidi" w:cstheme="majorBidi"/>
                <w:i/>
                <w:iCs/>
                <w:sz w:val="20"/>
                <w:szCs w:val="20"/>
              </w:rPr>
              <w:t xml:space="preserve">) are education indicators that reflect the conditions of education participation in Indonesia. This study aims to describe the level of </w:t>
            </w:r>
            <w:r w:rsidR="0023051F" w:rsidRPr="0023051F">
              <w:rPr>
                <w:rFonts w:asciiTheme="majorBidi" w:hAnsiTheme="majorBidi" w:cstheme="majorBidi"/>
                <w:i/>
                <w:iCs/>
                <w:sz w:val="20"/>
                <w:szCs w:val="20"/>
                <w:lang w:val="en-GB"/>
              </w:rPr>
              <w:t>SPR</w:t>
            </w:r>
            <w:r w:rsidR="0023051F" w:rsidRPr="0023051F">
              <w:rPr>
                <w:rFonts w:asciiTheme="majorBidi" w:hAnsiTheme="majorBidi" w:cstheme="majorBidi"/>
                <w:i/>
                <w:iCs/>
                <w:sz w:val="20"/>
                <w:szCs w:val="20"/>
              </w:rPr>
              <w:t xml:space="preserve">, </w:t>
            </w:r>
            <w:r w:rsidR="0023051F" w:rsidRPr="0023051F">
              <w:rPr>
                <w:rFonts w:asciiTheme="majorBidi" w:hAnsiTheme="majorBidi" w:cstheme="majorBidi"/>
                <w:i/>
                <w:iCs/>
                <w:sz w:val="20"/>
                <w:szCs w:val="20"/>
                <w:lang w:val="en-GB"/>
              </w:rPr>
              <w:t>RPR</w:t>
            </w:r>
            <w:r w:rsidR="0023051F" w:rsidRPr="0023051F">
              <w:rPr>
                <w:rFonts w:asciiTheme="majorBidi" w:hAnsiTheme="majorBidi" w:cstheme="majorBidi"/>
                <w:i/>
                <w:iCs/>
                <w:sz w:val="20"/>
                <w:szCs w:val="20"/>
              </w:rPr>
              <w:t xml:space="preserve"> and </w:t>
            </w:r>
            <w:r w:rsidR="0023051F" w:rsidRPr="0023051F">
              <w:rPr>
                <w:rFonts w:asciiTheme="majorBidi" w:hAnsiTheme="majorBidi" w:cstheme="majorBidi"/>
                <w:i/>
                <w:iCs/>
                <w:sz w:val="20"/>
                <w:szCs w:val="20"/>
                <w:lang w:val="en-GB"/>
              </w:rPr>
              <w:t>PPR</w:t>
            </w:r>
            <w:r w:rsidR="0023051F" w:rsidRPr="0023051F">
              <w:rPr>
                <w:rFonts w:asciiTheme="majorBidi" w:hAnsiTheme="majorBidi" w:cstheme="majorBidi"/>
                <w:i/>
                <w:iCs/>
                <w:sz w:val="20"/>
                <w:szCs w:val="20"/>
              </w:rPr>
              <w:t xml:space="preserve"> based on age and level of education. This study uses a quantitative statistical approach with explorative descriptive analysis. The type of data used is secondary data from the Central Statistics Agency (</w:t>
            </w:r>
            <w:r w:rsidR="0023051F" w:rsidRPr="0023051F">
              <w:rPr>
                <w:rFonts w:asciiTheme="majorBidi" w:hAnsiTheme="majorBidi" w:cstheme="majorBidi"/>
                <w:i/>
                <w:iCs/>
                <w:sz w:val="20"/>
                <w:szCs w:val="20"/>
                <w:lang w:val="en-GB"/>
              </w:rPr>
              <w:t>CSA</w:t>
            </w:r>
            <w:r w:rsidR="0023051F" w:rsidRPr="0023051F">
              <w:rPr>
                <w:rFonts w:asciiTheme="majorBidi" w:hAnsiTheme="majorBidi" w:cstheme="majorBidi"/>
                <w:i/>
                <w:iCs/>
                <w:sz w:val="20"/>
                <w:szCs w:val="20"/>
              </w:rPr>
              <w:t xml:space="preserve">) during the 1994-2018 period. The results showed that the APS, APK and APM Indonesia based on age, and the level of education the trend has increased. However, based on the average </w:t>
            </w:r>
            <w:r w:rsidR="0023051F" w:rsidRPr="0023051F">
              <w:rPr>
                <w:rFonts w:asciiTheme="majorBidi" w:hAnsiTheme="majorBidi" w:cstheme="majorBidi"/>
                <w:i/>
                <w:iCs/>
                <w:sz w:val="20"/>
                <w:szCs w:val="20"/>
                <w:lang w:val="en-GB"/>
              </w:rPr>
              <w:t>SPR</w:t>
            </w:r>
            <w:r w:rsidR="0023051F" w:rsidRPr="0023051F">
              <w:rPr>
                <w:rFonts w:asciiTheme="majorBidi" w:hAnsiTheme="majorBidi" w:cstheme="majorBidi"/>
                <w:i/>
                <w:iCs/>
                <w:sz w:val="20"/>
                <w:szCs w:val="20"/>
              </w:rPr>
              <w:t xml:space="preserve">, </w:t>
            </w:r>
            <w:r w:rsidR="0023051F" w:rsidRPr="0023051F">
              <w:rPr>
                <w:rFonts w:asciiTheme="majorBidi" w:hAnsiTheme="majorBidi" w:cstheme="majorBidi"/>
                <w:i/>
                <w:iCs/>
                <w:sz w:val="20"/>
                <w:szCs w:val="20"/>
                <w:lang w:val="en-GB"/>
              </w:rPr>
              <w:t>RPR</w:t>
            </w:r>
            <w:r w:rsidR="0023051F" w:rsidRPr="0023051F">
              <w:rPr>
                <w:rFonts w:asciiTheme="majorBidi" w:hAnsiTheme="majorBidi" w:cstheme="majorBidi"/>
                <w:i/>
                <w:iCs/>
                <w:sz w:val="20"/>
                <w:szCs w:val="20"/>
              </w:rPr>
              <w:t xml:space="preserve"> and </w:t>
            </w:r>
            <w:r w:rsidR="0023051F" w:rsidRPr="0023051F">
              <w:rPr>
                <w:rFonts w:asciiTheme="majorBidi" w:hAnsiTheme="majorBidi" w:cstheme="majorBidi"/>
                <w:i/>
                <w:iCs/>
                <w:sz w:val="20"/>
                <w:szCs w:val="20"/>
                <w:lang w:val="en-GB"/>
              </w:rPr>
              <w:t xml:space="preserve">PPR </w:t>
            </w:r>
            <w:r w:rsidR="0023051F" w:rsidRPr="0023051F">
              <w:rPr>
                <w:rFonts w:asciiTheme="majorBidi" w:hAnsiTheme="majorBidi" w:cstheme="majorBidi"/>
                <w:i/>
                <w:iCs/>
                <w:sz w:val="20"/>
                <w:szCs w:val="20"/>
              </w:rPr>
              <w:t>values, education participation has decreased with age and the level of education pursued. The implication of this research is to provide information for the government and other educational providers to make a reference in improving the quality of education related to the opportunity to obtain an equitable education for the community.</w:t>
            </w:r>
          </w:p>
          <w:p w:rsidR="0023051F" w:rsidRPr="0023051F" w:rsidRDefault="0023051F" w:rsidP="0023051F">
            <w:pPr>
              <w:pStyle w:val="Abstract"/>
              <w:ind w:right="17" w:firstLine="0"/>
              <w:rPr>
                <w:rFonts w:asciiTheme="majorBidi" w:hAnsiTheme="majorBidi" w:cstheme="majorBidi"/>
                <w:b w:val="0"/>
                <w:i/>
                <w:iCs/>
                <w:sz w:val="20"/>
                <w:szCs w:val="20"/>
                <w:lang w:val="id-ID"/>
              </w:rPr>
            </w:pPr>
            <w:r w:rsidRPr="0023051F">
              <w:rPr>
                <w:rFonts w:asciiTheme="majorBidi" w:hAnsiTheme="majorBidi" w:cstheme="majorBidi"/>
                <w:i/>
                <w:iCs/>
                <w:sz w:val="20"/>
                <w:szCs w:val="20"/>
                <w:lang w:val="id-ID"/>
              </w:rPr>
              <w:t>Abstrak:</w:t>
            </w:r>
            <w:r w:rsidRPr="0023051F">
              <w:rPr>
                <w:rFonts w:asciiTheme="majorBidi" w:eastAsiaTheme="minorHAnsi" w:hAnsiTheme="majorBidi" w:cstheme="majorBidi"/>
                <w:i/>
                <w:iCs/>
                <w:sz w:val="20"/>
                <w:szCs w:val="20"/>
                <w:lang w:val="id-ID"/>
              </w:rPr>
              <w:t xml:space="preserve"> </w:t>
            </w:r>
            <w:r w:rsidRPr="0023051F">
              <w:rPr>
                <w:rFonts w:asciiTheme="majorBidi" w:hAnsiTheme="majorBidi" w:cstheme="majorBidi"/>
                <w:b w:val="0"/>
                <w:i/>
                <w:iCs/>
                <w:sz w:val="20"/>
                <w:szCs w:val="20"/>
                <w:lang w:val="id-ID"/>
              </w:rPr>
              <w:t xml:space="preserve">Kondisi pendidikan suatu negara dapat dilihat melalui indikator pendidikan. Angka Partisipasi Sekolah (APS), Angka Partisipasi Kasar (APK) dan Angka Partisipasi Murni (APM) adalah indikator pendidikan yang mencerminkan kondisi </w:t>
            </w:r>
            <w:proofErr w:type="spellStart"/>
            <w:r w:rsidRPr="0023051F">
              <w:rPr>
                <w:rFonts w:asciiTheme="majorBidi" w:hAnsiTheme="majorBidi" w:cstheme="majorBidi"/>
                <w:b w:val="0"/>
                <w:i/>
                <w:iCs/>
                <w:sz w:val="20"/>
                <w:szCs w:val="20"/>
                <w:lang w:val="en-GB"/>
              </w:rPr>
              <w:t>partisipasi</w:t>
            </w:r>
            <w:proofErr w:type="spellEnd"/>
            <w:r w:rsidRPr="0023051F">
              <w:rPr>
                <w:rFonts w:asciiTheme="majorBidi" w:hAnsiTheme="majorBidi" w:cstheme="majorBidi"/>
                <w:b w:val="0"/>
                <w:i/>
                <w:iCs/>
                <w:sz w:val="20"/>
                <w:szCs w:val="20"/>
                <w:lang w:val="en-GB"/>
              </w:rPr>
              <w:t xml:space="preserve"> </w:t>
            </w:r>
            <w:r w:rsidRPr="0023051F">
              <w:rPr>
                <w:rFonts w:asciiTheme="majorBidi" w:hAnsiTheme="majorBidi" w:cstheme="majorBidi"/>
                <w:b w:val="0"/>
                <w:i/>
                <w:iCs/>
                <w:sz w:val="20"/>
                <w:szCs w:val="20"/>
                <w:lang w:val="id-ID"/>
              </w:rPr>
              <w:t>pendidikan di Indonesia. Penelitian ini bertujuan untuk mendeskripsikan tingkat APS, APK dan APM berdasarkan usia dan jenjang pendidikan. Penelitian ini menggunakan pendekatan kuantitatif statistik dengan analisis deskriptif</w:t>
            </w:r>
            <w:r w:rsidRPr="0023051F">
              <w:rPr>
                <w:rFonts w:asciiTheme="majorBidi" w:hAnsiTheme="majorBidi" w:cstheme="majorBidi"/>
                <w:b w:val="0"/>
                <w:i/>
                <w:iCs/>
                <w:sz w:val="20"/>
                <w:szCs w:val="20"/>
                <w:lang w:val="en-GB"/>
              </w:rPr>
              <w:t xml:space="preserve"> </w:t>
            </w:r>
            <w:proofErr w:type="spellStart"/>
            <w:r w:rsidRPr="0023051F">
              <w:rPr>
                <w:rFonts w:asciiTheme="majorBidi" w:hAnsiTheme="majorBidi" w:cstheme="majorBidi"/>
                <w:b w:val="0"/>
                <w:i/>
                <w:iCs/>
                <w:sz w:val="20"/>
                <w:szCs w:val="20"/>
                <w:lang w:val="en-GB"/>
              </w:rPr>
              <w:t>exploratif</w:t>
            </w:r>
            <w:proofErr w:type="spellEnd"/>
            <w:r w:rsidRPr="0023051F">
              <w:rPr>
                <w:rFonts w:asciiTheme="majorBidi" w:hAnsiTheme="majorBidi" w:cstheme="majorBidi"/>
                <w:b w:val="0"/>
                <w:i/>
                <w:iCs/>
                <w:sz w:val="20"/>
                <w:szCs w:val="20"/>
                <w:lang w:val="id-ID"/>
              </w:rPr>
              <w:t xml:space="preserve">. Jenis data yang digunakan adalah data sekunder dari Badan Pusat statistik (BPS) selama periode 1994-2018. Hasil penelitian menunjukan bahwa APS, APK dan APM Indonesia berdasarkan usia, dan jenjang pendidikan </w:t>
            </w:r>
            <w:proofErr w:type="spellStart"/>
            <w:r w:rsidRPr="0023051F">
              <w:rPr>
                <w:rFonts w:asciiTheme="majorBidi" w:hAnsiTheme="majorBidi" w:cstheme="majorBidi"/>
                <w:b w:val="0"/>
                <w:i/>
                <w:iCs/>
                <w:sz w:val="20"/>
                <w:szCs w:val="20"/>
                <w:lang w:val="en-GB"/>
              </w:rPr>
              <w:t>trennya</w:t>
            </w:r>
            <w:proofErr w:type="spellEnd"/>
            <w:r w:rsidRPr="0023051F">
              <w:rPr>
                <w:rFonts w:asciiTheme="majorBidi" w:hAnsiTheme="majorBidi" w:cstheme="majorBidi"/>
                <w:b w:val="0"/>
                <w:i/>
                <w:iCs/>
                <w:sz w:val="20"/>
                <w:szCs w:val="20"/>
                <w:lang w:val="en-GB"/>
              </w:rPr>
              <w:t xml:space="preserve"> </w:t>
            </w:r>
            <w:r w:rsidRPr="0023051F">
              <w:rPr>
                <w:rFonts w:asciiTheme="majorBidi" w:hAnsiTheme="majorBidi" w:cstheme="majorBidi"/>
                <w:b w:val="0"/>
                <w:i/>
                <w:iCs/>
                <w:sz w:val="20"/>
                <w:szCs w:val="20"/>
                <w:lang w:val="id-ID"/>
              </w:rPr>
              <w:t>mengalami peningkatan.</w:t>
            </w:r>
            <w:r w:rsidRPr="0023051F">
              <w:rPr>
                <w:rFonts w:asciiTheme="majorBidi" w:hAnsiTheme="majorBidi" w:cstheme="majorBidi"/>
                <w:b w:val="0"/>
                <w:i/>
                <w:iCs/>
                <w:sz w:val="20"/>
                <w:szCs w:val="20"/>
                <w:lang w:val="en-GB"/>
              </w:rPr>
              <w:t xml:space="preserve"> </w:t>
            </w:r>
            <w:proofErr w:type="spellStart"/>
            <w:r w:rsidRPr="0023051F">
              <w:rPr>
                <w:rFonts w:asciiTheme="majorBidi" w:hAnsiTheme="majorBidi" w:cstheme="majorBidi"/>
                <w:b w:val="0"/>
                <w:i/>
                <w:iCs/>
                <w:sz w:val="20"/>
                <w:szCs w:val="20"/>
                <w:lang w:val="en-GB"/>
              </w:rPr>
              <w:t>Akantetapi</w:t>
            </w:r>
            <w:proofErr w:type="spellEnd"/>
            <w:r w:rsidRPr="0023051F">
              <w:rPr>
                <w:rFonts w:asciiTheme="majorBidi" w:hAnsiTheme="majorBidi" w:cstheme="majorBidi"/>
                <w:b w:val="0"/>
                <w:i/>
                <w:iCs/>
                <w:sz w:val="20"/>
                <w:szCs w:val="20"/>
                <w:lang w:val="en-GB"/>
              </w:rPr>
              <w:t xml:space="preserve"> </w:t>
            </w:r>
            <w:proofErr w:type="spellStart"/>
            <w:r w:rsidRPr="0023051F">
              <w:rPr>
                <w:rFonts w:asciiTheme="majorBidi" w:hAnsiTheme="majorBidi" w:cstheme="majorBidi"/>
                <w:b w:val="0"/>
                <w:i/>
                <w:iCs/>
                <w:sz w:val="20"/>
                <w:szCs w:val="20"/>
                <w:lang w:val="en-GB"/>
              </w:rPr>
              <w:t>berdasarkan</w:t>
            </w:r>
            <w:proofErr w:type="spellEnd"/>
            <w:r w:rsidRPr="0023051F">
              <w:rPr>
                <w:rFonts w:asciiTheme="majorBidi" w:hAnsiTheme="majorBidi" w:cstheme="majorBidi"/>
                <w:b w:val="0"/>
                <w:i/>
                <w:iCs/>
                <w:sz w:val="20"/>
                <w:szCs w:val="20"/>
                <w:lang w:val="en-GB"/>
              </w:rPr>
              <w:t xml:space="preserve"> </w:t>
            </w:r>
            <w:proofErr w:type="spellStart"/>
            <w:r w:rsidRPr="0023051F">
              <w:rPr>
                <w:rFonts w:asciiTheme="majorBidi" w:hAnsiTheme="majorBidi" w:cstheme="majorBidi"/>
                <w:b w:val="0"/>
                <w:i/>
                <w:iCs/>
                <w:sz w:val="20"/>
                <w:szCs w:val="20"/>
                <w:lang w:val="en-GB"/>
              </w:rPr>
              <w:t>nilai</w:t>
            </w:r>
            <w:proofErr w:type="spellEnd"/>
            <w:r w:rsidRPr="0023051F">
              <w:rPr>
                <w:rFonts w:asciiTheme="majorBidi" w:hAnsiTheme="majorBidi" w:cstheme="majorBidi"/>
                <w:b w:val="0"/>
                <w:i/>
                <w:iCs/>
                <w:sz w:val="20"/>
                <w:szCs w:val="20"/>
                <w:lang w:val="en-GB"/>
              </w:rPr>
              <w:t xml:space="preserve"> rata-rata APS, APK, </w:t>
            </w:r>
            <w:proofErr w:type="spellStart"/>
            <w:r w:rsidRPr="0023051F">
              <w:rPr>
                <w:rFonts w:asciiTheme="majorBidi" w:hAnsiTheme="majorBidi" w:cstheme="majorBidi"/>
                <w:b w:val="0"/>
                <w:i/>
                <w:iCs/>
                <w:sz w:val="20"/>
                <w:szCs w:val="20"/>
                <w:lang w:val="en-GB"/>
              </w:rPr>
              <w:t>dan</w:t>
            </w:r>
            <w:proofErr w:type="spellEnd"/>
            <w:r w:rsidRPr="0023051F">
              <w:rPr>
                <w:rFonts w:asciiTheme="majorBidi" w:hAnsiTheme="majorBidi" w:cstheme="majorBidi"/>
                <w:b w:val="0"/>
                <w:i/>
                <w:iCs/>
                <w:sz w:val="20"/>
                <w:szCs w:val="20"/>
                <w:lang w:val="en-GB"/>
              </w:rPr>
              <w:t xml:space="preserve"> APM, </w:t>
            </w:r>
            <w:proofErr w:type="spellStart"/>
            <w:r w:rsidRPr="0023051F">
              <w:rPr>
                <w:rFonts w:asciiTheme="majorBidi" w:hAnsiTheme="majorBidi" w:cstheme="majorBidi"/>
                <w:b w:val="0"/>
                <w:i/>
                <w:iCs/>
                <w:sz w:val="20"/>
                <w:szCs w:val="20"/>
                <w:lang w:val="en-GB"/>
              </w:rPr>
              <w:t>partisipasi</w:t>
            </w:r>
            <w:proofErr w:type="spellEnd"/>
            <w:r w:rsidRPr="0023051F">
              <w:rPr>
                <w:rFonts w:asciiTheme="majorBidi" w:hAnsiTheme="majorBidi" w:cstheme="majorBidi"/>
                <w:b w:val="0"/>
                <w:i/>
                <w:iCs/>
                <w:sz w:val="20"/>
                <w:szCs w:val="20"/>
                <w:lang w:val="en-GB"/>
              </w:rPr>
              <w:t xml:space="preserve"> </w:t>
            </w:r>
            <w:proofErr w:type="spellStart"/>
            <w:r w:rsidRPr="0023051F">
              <w:rPr>
                <w:rFonts w:asciiTheme="majorBidi" w:hAnsiTheme="majorBidi" w:cstheme="majorBidi"/>
                <w:b w:val="0"/>
                <w:i/>
                <w:iCs/>
                <w:sz w:val="20"/>
                <w:szCs w:val="20"/>
                <w:lang w:val="en-GB"/>
              </w:rPr>
              <w:t>pendidikan</w:t>
            </w:r>
            <w:proofErr w:type="spellEnd"/>
            <w:r w:rsidRPr="0023051F">
              <w:rPr>
                <w:rFonts w:asciiTheme="majorBidi" w:hAnsiTheme="majorBidi" w:cstheme="majorBidi"/>
                <w:b w:val="0"/>
                <w:i/>
                <w:iCs/>
                <w:sz w:val="20"/>
                <w:szCs w:val="20"/>
                <w:lang w:val="en-GB"/>
              </w:rPr>
              <w:t xml:space="preserve"> </w:t>
            </w:r>
            <w:proofErr w:type="spellStart"/>
            <w:r w:rsidRPr="0023051F">
              <w:rPr>
                <w:rFonts w:asciiTheme="majorBidi" w:hAnsiTheme="majorBidi" w:cstheme="majorBidi"/>
                <w:b w:val="0"/>
                <w:i/>
                <w:iCs/>
                <w:sz w:val="20"/>
                <w:szCs w:val="20"/>
                <w:lang w:val="en-GB"/>
              </w:rPr>
              <w:t>mengalami</w:t>
            </w:r>
            <w:proofErr w:type="spellEnd"/>
            <w:r w:rsidRPr="0023051F">
              <w:rPr>
                <w:rFonts w:asciiTheme="majorBidi" w:hAnsiTheme="majorBidi" w:cstheme="majorBidi"/>
                <w:b w:val="0"/>
                <w:i/>
                <w:iCs/>
                <w:sz w:val="20"/>
                <w:szCs w:val="20"/>
                <w:lang w:val="en-GB"/>
              </w:rPr>
              <w:t xml:space="preserve"> </w:t>
            </w:r>
            <w:proofErr w:type="spellStart"/>
            <w:r w:rsidRPr="0023051F">
              <w:rPr>
                <w:rFonts w:asciiTheme="majorBidi" w:hAnsiTheme="majorBidi" w:cstheme="majorBidi"/>
                <w:b w:val="0"/>
                <w:i/>
                <w:iCs/>
                <w:sz w:val="20"/>
                <w:szCs w:val="20"/>
                <w:lang w:val="en-GB"/>
              </w:rPr>
              <w:t>penurunan</w:t>
            </w:r>
            <w:proofErr w:type="spellEnd"/>
            <w:r w:rsidRPr="0023051F">
              <w:rPr>
                <w:rFonts w:asciiTheme="majorBidi" w:hAnsiTheme="majorBidi" w:cstheme="majorBidi"/>
                <w:b w:val="0"/>
                <w:i/>
                <w:iCs/>
                <w:sz w:val="20"/>
                <w:szCs w:val="20"/>
                <w:lang w:val="en-GB"/>
              </w:rPr>
              <w:t xml:space="preserve"> </w:t>
            </w:r>
            <w:proofErr w:type="spellStart"/>
            <w:r w:rsidRPr="0023051F">
              <w:rPr>
                <w:rFonts w:asciiTheme="majorBidi" w:hAnsiTheme="majorBidi" w:cstheme="majorBidi"/>
                <w:b w:val="0"/>
                <w:i/>
                <w:iCs/>
                <w:sz w:val="20"/>
                <w:szCs w:val="20"/>
                <w:lang w:val="en-GB"/>
              </w:rPr>
              <w:t>seiring</w:t>
            </w:r>
            <w:proofErr w:type="spellEnd"/>
            <w:r w:rsidRPr="0023051F">
              <w:rPr>
                <w:rFonts w:asciiTheme="majorBidi" w:hAnsiTheme="majorBidi" w:cstheme="majorBidi"/>
                <w:b w:val="0"/>
                <w:i/>
                <w:iCs/>
                <w:sz w:val="20"/>
                <w:szCs w:val="20"/>
                <w:lang w:val="en-GB"/>
              </w:rPr>
              <w:t xml:space="preserve"> </w:t>
            </w:r>
            <w:proofErr w:type="spellStart"/>
            <w:r w:rsidRPr="0023051F">
              <w:rPr>
                <w:rFonts w:asciiTheme="majorBidi" w:hAnsiTheme="majorBidi" w:cstheme="majorBidi"/>
                <w:b w:val="0"/>
                <w:i/>
                <w:iCs/>
                <w:sz w:val="20"/>
                <w:szCs w:val="20"/>
                <w:lang w:val="en-GB"/>
              </w:rPr>
              <w:t>bertambahnya</w:t>
            </w:r>
            <w:proofErr w:type="spellEnd"/>
            <w:r w:rsidRPr="0023051F">
              <w:rPr>
                <w:rFonts w:asciiTheme="majorBidi" w:hAnsiTheme="majorBidi" w:cstheme="majorBidi"/>
                <w:b w:val="0"/>
                <w:i/>
                <w:iCs/>
                <w:sz w:val="20"/>
                <w:szCs w:val="20"/>
                <w:lang w:val="en-GB"/>
              </w:rPr>
              <w:t xml:space="preserve"> </w:t>
            </w:r>
            <w:proofErr w:type="spellStart"/>
            <w:r w:rsidRPr="0023051F">
              <w:rPr>
                <w:rFonts w:asciiTheme="majorBidi" w:hAnsiTheme="majorBidi" w:cstheme="majorBidi"/>
                <w:b w:val="0"/>
                <w:i/>
                <w:iCs/>
                <w:sz w:val="20"/>
                <w:szCs w:val="20"/>
                <w:lang w:val="en-GB"/>
              </w:rPr>
              <w:t>usia</w:t>
            </w:r>
            <w:proofErr w:type="spellEnd"/>
            <w:r w:rsidRPr="0023051F">
              <w:rPr>
                <w:rFonts w:asciiTheme="majorBidi" w:hAnsiTheme="majorBidi" w:cstheme="majorBidi"/>
                <w:b w:val="0"/>
                <w:i/>
                <w:iCs/>
                <w:sz w:val="20"/>
                <w:szCs w:val="20"/>
                <w:lang w:val="en-GB"/>
              </w:rPr>
              <w:t xml:space="preserve"> </w:t>
            </w:r>
            <w:proofErr w:type="spellStart"/>
            <w:r w:rsidRPr="0023051F">
              <w:rPr>
                <w:rFonts w:asciiTheme="majorBidi" w:hAnsiTheme="majorBidi" w:cstheme="majorBidi"/>
                <w:b w:val="0"/>
                <w:i/>
                <w:iCs/>
                <w:sz w:val="20"/>
                <w:szCs w:val="20"/>
                <w:lang w:val="en-GB"/>
              </w:rPr>
              <w:t>dan</w:t>
            </w:r>
            <w:proofErr w:type="spellEnd"/>
            <w:r w:rsidRPr="0023051F">
              <w:rPr>
                <w:rFonts w:asciiTheme="majorBidi" w:hAnsiTheme="majorBidi" w:cstheme="majorBidi"/>
                <w:b w:val="0"/>
                <w:i/>
                <w:iCs/>
                <w:sz w:val="20"/>
                <w:szCs w:val="20"/>
                <w:lang w:val="en-GB"/>
              </w:rPr>
              <w:t xml:space="preserve"> </w:t>
            </w:r>
            <w:proofErr w:type="spellStart"/>
            <w:r w:rsidRPr="0023051F">
              <w:rPr>
                <w:rFonts w:asciiTheme="majorBidi" w:hAnsiTheme="majorBidi" w:cstheme="majorBidi"/>
                <w:b w:val="0"/>
                <w:i/>
                <w:iCs/>
                <w:sz w:val="20"/>
                <w:szCs w:val="20"/>
                <w:lang w:val="en-GB"/>
              </w:rPr>
              <w:t>jenjang</w:t>
            </w:r>
            <w:proofErr w:type="spellEnd"/>
            <w:r w:rsidRPr="0023051F">
              <w:rPr>
                <w:rFonts w:asciiTheme="majorBidi" w:hAnsiTheme="majorBidi" w:cstheme="majorBidi"/>
                <w:b w:val="0"/>
                <w:i/>
                <w:iCs/>
                <w:sz w:val="20"/>
                <w:szCs w:val="20"/>
                <w:lang w:val="en-GB"/>
              </w:rPr>
              <w:t xml:space="preserve"> </w:t>
            </w:r>
            <w:proofErr w:type="spellStart"/>
            <w:r w:rsidRPr="0023051F">
              <w:rPr>
                <w:rFonts w:asciiTheme="majorBidi" w:hAnsiTheme="majorBidi" w:cstheme="majorBidi"/>
                <w:b w:val="0"/>
                <w:i/>
                <w:iCs/>
                <w:sz w:val="20"/>
                <w:szCs w:val="20"/>
                <w:lang w:val="en-GB"/>
              </w:rPr>
              <w:t>pendidikan</w:t>
            </w:r>
            <w:proofErr w:type="spellEnd"/>
            <w:r w:rsidRPr="0023051F">
              <w:rPr>
                <w:rFonts w:asciiTheme="majorBidi" w:hAnsiTheme="majorBidi" w:cstheme="majorBidi"/>
                <w:b w:val="0"/>
                <w:i/>
                <w:iCs/>
                <w:sz w:val="20"/>
                <w:szCs w:val="20"/>
                <w:lang w:val="en-GB"/>
              </w:rPr>
              <w:t xml:space="preserve"> yang </w:t>
            </w:r>
            <w:proofErr w:type="spellStart"/>
            <w:r w:rsidRPr="0023051F">
              <w:rPr>
                <w:rFonts w:asciiTheme="majorBidi" w:hAnsiTheme="majorBidi" w:cstheme="majorBidi"/>
                <w:b w:val="0"/>
                <w:i/>
                <w:iCs/>
                <w:sz w:val="20"/>
                <w:szCs w:val="20"/>
                <w:lang w:val="en-GB"/>
              </w:rPr>
              <w:t>ditempuh</w:t>
            </w:r>
            <w:proofErr w:type="spellEnd"/>
            <w:r w:rsidRPr="0023051F">
              <w:rPr>
                <w:rFonts w:asciiTheme="majorBidi" w:hAnsiTheme="majorBidi" w:cstheme="majorBidi"/>
                <w:b w:val="0"/>
                <w:i/>
                <w:iCs/>
                <w:sz w:val="20"/>
                <w:szCs w:val="20"/>
                <w:lang w:val="en-GB"/>
              </w:rPr>
              <w:t>.</w:t>
            </w:r>
            <w:r w:rsidRPr="0023051F">
              <w:rPr>
                <w:rFonts w:asciiTheme="majorBidi" w:hAnsiTheme="majorBidi" w:cstheme="majorBidi"/>
                <w:b w:val="0"/>
                <w:i/>
                <w:iCs/>
                <w:sz w:val="20"/>
                <w:szCs w:val="20"/>
                <w:lang w:val="id-ID"/>
              </w:rPr>
              <w:t xml:space="preserve"> Implikasi dari penelitian ini adalah memberikan informasi bagi pemerintah dan pihak penyelenggara pendidikan lainya untuk dijadian  acuan dalam meningkatkan kualitas pendidikan terkait kesempatan memperoleh pendidikan yang merata bagi masyarakat.</w:t>
            </w:r>
          </w:p>
          <w:p w:rsidR="0023051F" w:rsidRPr="0023051F" w:rsidRDefault="0023051F" w:rsidP="0023051F">
            <w:pPr>
              <w:spacing w:after="0" w:line="240" w:lineRule="auto"/>
              <w:ind w:right="95"/>
              <w:jc w:val="both"/>
              <w:rPr>
                <w:rFonts w:ascii="Times New Roman" w:hAnsi="Times New Roman" w:cs="Times New Roman"/>
                <w:sz w:val="20"/>
                <w:szCs w:val="20"/>
              </w:rPr>
            </w:pPr>
          </w:p>
        </w:tc>
        <w:tc>
          <w:tcPr>
            <w:tcW w:w="2988" w:type="dxa"/>
          </w:tcPr>
          <w:p w:rsidR="003C57CB" w:rsidRPr="00C3780F" w:rsidRDefault="003C57CB" w:rsidP="003C57CB">
            <w:pPr>
              <w:spacing w:after="0" w:line="240" w:lineRule="auto"/>
              <w:ind w:right="95"/>
              <w:jc w:val="both"/>
              <w:rPr>
                <w:rFonts w:ascii="Times New Roman" w:eastAsia="Times New Roman" w:hAnsi="Times New Roman" w:cs="Times New Roman"/>
                <w:b/>
                <w:sz w:val="20"/>
                <w:szCs w:val="20"/>
                <w:lang w:val="en-US"/>
              </w:rPr>
            </w:pPr>
            <w:r w:rsidRPr="00C3780F">
              <w:rPr>
                <w:rFonts w:ascii="Times New Roman" w:eastAsia="Times New Roman" w:hAnsi="Times New Roman" w:cs="Times New Roman"/>
                <w:b/>
                <w:sz w:val="20"/>
                <w:szCs w:val="20"/>
                <w:lang w:val="en-US"/>
              </w:rPr>
              <w:t>Article History</w:t>
            </w:r>
          </w:p>
          <w:p w:rsidR="003C57CB" w:rsidRPr="00C3780F" w:rsidRDefault="003C57CB" w:rsidP="00A53510">
            <w:pPr>
              <w:spacing w:after="0" w:line="240" w:lineRule="auto"/>
              <w:ind w:right="-216"/>
              <w:jc w:val="both"/>
              <w:rPr>
                <w:rFonts w:ascii="Times New Roman" w:eastAsia="Times New Roman" w:hAnsi="Times New Roman" w:cs="Times New Roman"/>
                <w:sz w:val="20"/>
                <w:szCs w:val="20"/>
                <w:lang w:val="en-US"/>
              </w:rPr>
            </w:pPr>
            <w:r w:rsidRPr="00C3780F">
              <w:rPr>
                <w:rFonts w:ascii="Times New Roman" w:eastAsia="Times New Roman" w:hAnsi="Times New Roman" w:cs="Times New Roman"/>
                <w:sz w:val="20"/>
                <w:szCs w:val="20"/>
                <w:lang w:val="en-US"/>
              </w:rPr>
              <w:t>Received:</w:t>
            </w:r>
            <w:r w:rsidR="005E3488">
              <w:rPr>
                <w:rFonts w:ascii="Times New Roman" w:eastAsia="Times New Roman" w:hAnsi="Times New Roman" w:cs="Times New Roman"/>
                <w:sz w:val="20"/>
                <w:szCs w:val="20"/>
                <w:lang w:val="en-US"/>
              </w:rPr>
              <w:t xml:space="preserve"> </w:t>
            </w:r>
            <w:r w:rsidR="00E56DA7">
              <w:rPr>
                <w:rFonts w:ascii="Times New Roman" w:eastAsia="Times New Roman" w:hAnsi="Times New Roman" w:cs="Times New Roman"/>
                <w:color w:val="FFFFFF"/>
                <w:sz w:val="20"/>
                <w:szCs w:val="20"/>
                <w:lang w:val="en-US"/>
              </w:rPr>
              <w:t xml:space="preserve"> 2</w:t>
            </w:r>
          </w:p>
          <w:p w:rsidR="003C57CB" w:rsidRPr="00C3780F" w:rsidRDefault="00E56DA7" w:rsidP="003C57CB">
            <w:pPr>
              <w:spacing w:after="0" w:line="240" w:lineRule="auto"/>
              <w:ind w:right="95"/>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Revised</w:t>
            </w:r>
            <w:r w:rsidR="003C57CB" w:rsidRPr="00C3780F">
              <w:rPr>
                <w:rFonts w:ascii="Times New Roman" w:eastAsia="Times New Roman" w:hAnsi="Times New Roman" w:cs="Times New Roman"/>
                <w:sz w:val="20"/>
                <w:szCs w:val="20"/>
                <w:lang w:val="en-US"/>
              </w:rPr>
              <w:t>:</w:t>
            </w:r>
            <w:r w:rsidR="000B4FBC">
              <w:rPr>
                <w:rFonts w:ascii="Times New Roman" w:eastAsia="Times New Roman" w:hAnsi="Times New Roman" w:cs="Times New Roman"/>
                <w:sz w:val="20"/>
                <w:szCs w:val="20"/>
                <w:lang w:val="en-US"/>
              </w:rPr>
              <w:t xml:space="preserve"> </w:t>
            </w:r>
          </w:p>
          <w:p w:rsidR="003C57CB" w:rsidRPr="00C3780F" w:rsidRDefault="003C57CB" w:rsidP="00B3680E">
            <w:pPr>
              <w:tabs>
                <w:tab w:val="left" w:pos="2309"/>
              </w:tabs>
              <w:spacing w:after="0" w:line="240" w:lineRule="auto"/>
              <w:ind w:right="-36"/>
              <w:jc w:val="both"/>
              <w:rPr>
                <w:rFonts w:ascii="Times New Roman" w:eastAsia="Times New Roman" w:hAnsi="Times New Roman" w:cs="Times New Roman"/>
                <w:sz w:val="20"/>
                <w:szCs w:val="20"/>
                <w:lang w:val="en-US"/>
              </w:rPr>
            </w:pPr>
            <w:r w:rsidRPr="00C3780F">
              <w:rPr>
                <w:rFonts w:ascii="Times New Roman" w:eastAsia="Times New Roman" w:hAnsi="Times New Roman" w:cs="Times New Roman"/>
                <w:sz w:val="20"/>
                <w:szCs w:val="20"/>
                <w:lang w:val="en-US"/>
              </w:rPr>
              <w:t>Published</w:t>
            </w:r>
            <w:proofErr w:type="gramStart"/>
            <w:r w:rsidRPr="00C3780F">
              <w:rPr>
                <w:rFonts w:ascii="Times New Roman" w:eastAsia="Times New Roman" w:hAnsi="Times New Roman" w:cs="Times New Roman"/>
                <w:sz w:val="20"/>
                <w:szCs w:val="20"/>
                <w:lang w:val="en-US"/>
              </w:rPr>
              <w:t>:</w:t>
            </w:r>
            <w:r w:rsidR="00E56DA7" w:rsidRPr="00B622E8">
              <w:rPr>
                <w:rFonts w:ascii="Times New Roman" w:eastAsia="Times New Roman" w:hAnsi="Times New Roman" w:cs="Times New Roman"/>
                <w:color w:val="FFFFFF"/>
                <w:sz w:val="20"/>
                <w:szCs w:val="20"/>
                <w:lang w:val="en-US"/>
              </w:rPr>
              <w:t>..</w:t>
            </w:r>
            <w:proofErr w:type="gramEnd"/>
            <w:r w:rsidRPr="00C3780F">
              <w:rPr>
                <w:rFonts w:ascii="Times New Roman" w:eastAsia="Times New Roman" w:hAnsi="Times New Roman" w:cs="Times New Roman"/>
                <w:color w:val="FFFFFF"/>
                <w:sz w:val="20"/>
                <w:szCs w:val="20"/>
                <w:lang w:val="en-US"/>
              </w:rPr>
              <w:t xml:space="preserve"> 2017</w:t>
            </w:r>
          </w:p>
          <w:p w:rsidR="007D1530" w:rsidRPr="00C3780F" w:rsidRDefault="007D1530" w:rsidP="003C57CB">
            <w:pPr>
              <w:spacing w:after="0" w:line="240" w:lineRule="auto"/>
              <w:ind w:right="95"/>
              <w:jc w:val="both"/>
              <w:rPr>
                <w:rFonts w:ascii="Times New Roman" w:eastAsia="Times New Roman" w:hAnsi="Times New Roman" w:cs="Times New Roman"/>
                <w:b/>
                <w:sz w:val="20"/>
                <w:szCs w:val="20"/>
                <w:lang w:val="en-US"/>
              </w:rPr>
            </w:pPr>
          </w:p>
          <w:p w:rsidR="003C57CB" w:rsidRPr="00C3780F" w:rsidRDefault="003C57CB" w:rsidP="003C57CB">
            <w:pPr>
              <w:spacing w:after="0" w:line="240" w:lineRule="auto"/>
              <w:ind w:right="95"/>
              <w:jc w:val="both"/>
              <w:rPr>
                <w:rFonts w:ascii="Times New Roman" w:eastAsia="Times New Roman" w:hAnsi="Times New Roman" w:cs="Times New Roman"/>
                <w:b/>
                <w:sz w:val="20"/>
                <w:szCs w:val="20"/>
                <w:lang w:val="en-US"/>
              </w:rPr>
            </w:pPr>
            <w:r w:rsidRPr="00C3780F">
              <w:rPr>
                <w:rFonts w:ascii="Times New Roman" w:eastAsia="Times New Roman" w:hAnsi="Times New Roman" w:cs="Times New Roman"/>
                <w:b/>
                <w:sz w:val="20"/>
                <w:szCs w:val="20"/>
                <w:lang w:val="en-US"/>
              </w:rPr>
              <w:t>Key Words</w:t>
            </w:r>
            <w:r w:rsidR="00795849">
              <w:rPr>
                <w:rFonts w:ascii="Times New Roman" w:eastAsia="Times New Roman" w:hAnsi="Times New Roman" w:cs="Times New Roman"/>
                <w:b/>
                <w:sz w:val="20"/>
                <w:szCs w:val="20"/>
                <w:lang w:val="en-US"/>
              </w:rPr>
              <w:t xml:space="preserve"> :</w:t>
            </w:r>
          </w:p>
          <w:p w:rsidR="00935575" w:rsidRPr="0023051F" w:rsidRDefault="0023051F" w:rsidP="00B17385">
            <w:pPr>
              <w:pStyle w:val="NormalWeb"/>
              <w:spacing w:before="0" w:beforeAutospacing="0" w:after="0" w:afterAutospacing="0"/>
              <w:ind w:right="324"/>
            </w:pPr>
            <w:r w:rsidRPr="0023051F">
              <w:rPr>
                <w:rFonts w:asciiTheme="majorBidi" w:hAnsiTheme="majorBidi" w:cstheme="majorBidi"/>
                <w:sz w:val="20"/>
                <w:szCs w:val="20"/>
              </w:rPr>
              <w:t>School Participation Rate (</w:t>
            </w:r>
            <w:r w:rsidRPr="0023051F">
              <w:rPr>
                <w:rFonts w:asciiTheme="majorBidi" w:hAnsiTheme="majorBidi" w:cstheme="majorBidi"/>
                <w:sz w:val="20"/>
                <w:szCs w:val="20"/>
                <w:lang w:val="en-GB"/>
              </w:rPr>
              <w:t>SPR</w:t>
            </w:r>
            <w:r w:rsidRPr="0023051F">
              <w:rPr>
                <w:rFonts w:asciiTheme="majorBidi" w:hAnsiTheme="majorBidi" w:cstheme="majorBidi"/>
                <w:sz w:val="20"/>
                <w:szCs w:val="20"/>
              </w:rPr>
              <w:t>), Rough Participation Rate (</w:t>
            </w:r>
            <w:r w:rsidRPr="0023051F">
              <w:rPr>
                <w:rFonts w:asciiTheme="majorBidi" w:hAnsiTheme="majorBidi" w:cstheme="majorBidi"/>
                <w:sz w:val="20"/>
                <w:szCs w:val="20"/>
                <w:lang w:val="en-GB"/>
              </w:rPr>
              <w:t>RPR</w:t>
            </w:r>
            <w:r w:rsidRPr="0023051F">
              <w:rPr>
                <w:rFonts w:asciiTheme="majorBidi" w:hAnsiTheme="majorBidi" w:cstheme="majorBidi"/>
                <w:sz w:val="20"/>
                <w:szCs w:val="20"/>
              </w:rPr>
              <w:t>) and Pure Participation Rate (</w:t>
            </w:r>
            <w:r w:rsidRPr="0023051F">
              <w:rPr>
                <w:rFonts w:asciiTheme="majorBidi" w:hAnsiTheme="majorBidi" w:cstheme="majorBidi"/>
                <w:sz w:val="20"/>
                <w:szCs w:val="20"/>
                <w:lang w:val="en-GB"/>
              </w:rPr>
              <w:t>PPR</w:t>
            </w:r>
            <w:r w:rsidRPr="0023051F">
              <w:rPr>
                <w:rFonts w:asciiTheme="majorBidi" w:hAnsiTheme="majorBidi" w:cstheme="majorBidi"/>
                <w:sz w:val="20"/>
                <w:szCs w:val="20"/>
              </w:rPr>
              <w:t>)</w:t>
            </w:r>
            <w:r>
              <w:rPr>
                <w:rFonts w:asciiTheme="majorBidi" w:hAnsiTheme="majorBidi" w:cstheme="majorBidi"/>
                <w:sz w:val="20"/>
                <w:szCs w:val="20"/>
              </w:rPr>
              <w:t>.</w:t>
            </w:r>
          </w:p>
        </w:tc>
      </w:tr>
    </w:tbl>
    <w:p w:rsidR="00525A96" w:rsidRPr="00EF7B31" w:rsidRDefault="00FE26F0" w:rsidP="00FE26F0">
      <w:pPr>
        <w:shd w:val="clear" w:color="auto" w:fill="FFFFFF"/>
        <w:spacing w:after="120" w:line="240" w:lineRule="auto"/>
        <w:jc w:val="both"/>
        <w:rPr>
          <w:rFonts w:ascii="Times New Roman" w:hAnsi="Times New Roman" w:cs="Times New Roman"/>
          <w:sz w:val="20"/>
          <w:szCs w:val="20"/>
          <w:lang w:val="en-US"/>
        </w:rPr>
      </w:pPr>
      <w:r w:rsidRPr="005D2396">
        <w:rPr>
          <w:rFonts w:ascii="Times New Roman" w:eastAsia="Times New Roman" w:hAnsi="Times New Roman" w:cs="Times New Roman"/>
          <w:b/>
          <w:color w:val="000000"/>
          <w:sz w:val="20"/>
          <w:szCs w:val="20"/>
          <w:lang w:val="en-US"/>
        </w:rPr>
        <w:t>How to Cite:</w:t>
      </w:r>
      <w:r>
        <w:rPr>
          <w:rFonts w:ascii="Times New Roman" w:eastAsia="Times New Roman" w:hAnsi="Times New Roman" w:cs="Times New Roman"/>
          <w:b/>
          <w:color w:val="000000"/>
          <w:sz w:val="20"/>
          <w:szCs w:val="20"/>
          <w:lang w:val="en-US"/>
        </w:rPr>
        <w:t xml:space="preserve"> </w:t>
      </w:r>
      <w:r w:rsidR="00EF7B31" w:rsidRPr="00EF7B31">
        <w:rPr>
          <w:rFonts w:ascii="Times New Roman" w:hAnsi="Times New Roman" w:cs="Times New Roman"/>
          <w:sz w:val="20"/>
          <w:szCs w:val="20"/>
        </w:rPr>
        <w:t xml:space="preserve">First </w:t>
      </w:r>
      <w:proofErr w:type="gramStart"/>
      <w:r w:rsidR="00EF7B31" w:rsidRPr="00EF7B31">
        <w:rPr>
          <w:rFonts w:ascii="Times New Roman" w:hAnsi="Times New Roman" w:cs="Times New Roman"/>
          <w:sz w:val="20"/>
          <w:szCs w:val="20"/>
        </w:rPr>
        <w:t>author.,</w:t>
      </w:r>
      <w:proofErr w:type="gramEnd"/>
      <w:r w:rsidR="00EF7B31" w:rsidRPr="00EF7B31">
        <w:rPr>
          <w:rFonts w:ascii="Times New Roman" w:hAnsi="Times New Roman" w:cs="Times New Roman"/>
          <w:sz w:val="20"/>
          <w:szCs w:val="20"/>
        </w:rPr>
        <w:t xml:space="preserve"> Second author., &amp;amp; Third author. (20xx). The title.</w:t>
      </w:r>
      <w:r w:rsidR="00525A96" w:rsidRPr="00525A96">
        <w:rPr>
          <w:rFonts w:ascii="Times New Roman" w:hAnsi="Times New Roman" w:cs="Times New Roman"/>
          <w:sz w:val="20"/>
          <w:szCs w:val="20"/>
        </w:rPr>
        <w:t xml:space="preserve"> </w:t>
      </w:r>
      <w:r w:rsidR="00525A96" w:rsidRPr="00525A96">
        <w:rPr>
          <w:rStyle w:val="Emphasis"/>
          <w:rFonts w:ascii="Times New Roman" w:hAnsi="Times New Roman" w:cs="Times New Roman"/>
          <w:sz w:val="20"/>
          <w:szCs w:val="20"/>
        </w:rPr>
        <w:t>Jurnal Kependidikan: Jurnal Hasil Penelitian dan Kajian Kepustakaan di Bidang Pendidikan</w:t>
      </w:r>
      <w:r w:rsidR="00EF7B31">
        <w:rPr>
          <w:rStyle w:val="Emphasis"/>
          <w:rFonts w:ascii="Times New Roman" w:hAnsi="Times New Roman" w:cs="Times New Roman"/>
          <w:sz w:val="20"/>
          <w:szCs w:val="20"/>
        </w:rPr>
        <w:t xml:space="preserve">, Pengajaran dan Pembelajaran, </w:t>
      </w:r>
      <w:proofErr w:type="spellStart"/>
      <w:r w:rsidR="00EF7B31">
        <w:rPr>
          <w:rStyle w:val="Emphasis"/>
          <w:rFonts w:ascii="Times New Roman" w:hAnsi="Times New Roman" w:cs="Times New Roman"/>
          <w:sz w:val="20"/>
          <w:szCs w:val="20"/>
          <w:lang w:val="en-US"/>
        </w:rPr>
        <w:t>vol</w:t>
      </w:r>
      <w:proofErr w:type="spellEnd"/>
      <w:r w:rsidR="00EF7B31">
        <w:rPr>
          <w:rFonts w:ascii="Times New Roman" w:hAnsi="Times New Roman" w:cs="Times New Roman"/>
          <w:sz w:val="20"/>
          <w:szCs w:val="20"/>
        </w:rPr>
        <w:t>(</w:t>
      </w:r>
      <w:r w:rsidR="00EF7B31">
        <w:rPr>
          <w:rFonts w:ascii="Times New Roman" w:hAnsi="Times New Roman" w:cs="Times New Roman"/>
          <w:sz w:val="20"/>
          <w:szCs w:val="20"/>
          <w:lang w:val="en-US"/>
        </w:rPr>
        <w:t>no</w:t>
      </w:r>
      <w:r w:rsidR="00525A96" w:rsidRPr="00525A96">
        <w:rPr>
          <w:rFonts w:ascii="Times New Roman" w:hAnsi="Times New Roman" w:cs="Times New Roman"/>
          <w:sz w:val="20"/>
          <w:szCs w:val="20"/>
        </w:rPr>
        <w:t>). doi:</w:t>
      </w:r>
      <w:r w:rsidR="00525A96" w:rsidRPr="00EF7B31">
        <w:rPr>
          <w:rFonts w:ascii="Times New Roman" w:hAnsi="Times New Roman" w:cs="Times New Roman"/>
          <w:sz w:val="20"/>
          <w:szCs w:val="20"/>
        </w:rPr>
        <w:t>https</w:t>
      </w:r>
      <w:r w:rsidR="00EF7B31">
        <w:rPr>
          <w:rFonts w:ascii="Times New Roman" w:hAnsi="Times New Roman" w:cs="Times New Roman"/>
          <w:sz w:val="20"/>
          <w:szCs w:val="20"/>
        </w:rPr>
        <w:t>://doi.org/10.33394/jk.v</w:t>
      </w:r>
      <w:proofErr w:type="spellStart"/>
      <w:r w:rsidR="00EF7B31">
        <w:rPr>
          <w:rFonts w:ascii="Times New Roman" w:hAnsi="Times New Roman" w:cs="Times New Roman"/>
          <w:sz w:val="20"/>
          <w:szCs w:val="20"/>
          <w:lang w:val="en-US"/>
        </w:rPr>
        <w:t>xxyyi</w:t>
      </w:r>
      <w:proofErr w:type="spellEnd"/>
    </w:p>
    <w:tbl>
      <w:tblPr>
        <w:tblW w:w="0" w:type="auto"/>
        <w:tblInd w:w="108" w:type="dxa"/>
        <w:tblLook w:val="04A0"/>
      </w:tblPr>
      <w:tblGrid>
        <w:gridCol w:w="3780"/>
        <w:gridCol w:w="5220"/>
      </w:tblGrid>
      <w:tr w:rsidR="00FE26F0" w:rsidRPr="00A672B6" w:rsidTr="008B0BA2">
        <w:trPr>
          <w:trHeight w:val="419"/>
        </w:trPr>
        <w:tc>
          <w:tcPr>
            <w:tcW w:w="3780" w:type="dxa"/>
            <w:shd w:val="clear" w:color="auto" w:fill="auto"/>
          </w:tcPr>
          <w:p w:rsidR="00FE26F0" w:rsidRPr="00EF7B31" w:rsidRDefault="00100EF8" w:rsidP="008B0BA2">
            <w:pPr>
              <w:spacing w:after="0" w:line="240" w:lineRule="auto"/>
              <w:jc w:val="both"/>
              <w:rPr>
                <w:sz w:val="18"/>
                <w:szCs w:val="18"/>
                <w:lang w:val="en-US"/>
              </w:rPr>
            </w:pPr>
            <w:r>
              <w:rPr>
                <w:noProof/>
                <w:sz w:val="18"/>
                <w:szCs w:val="18"/>
                <w:lang w:val="en-GB" w:eastAsia="en-GB"/>
              </w:rPr>
              <w:drawing>
                <wp:inline distT="0" distB="0" distL="0" distR="0">
                  <wp:extent cx="180975" cy="180975"/>
                  <wp:effectExtent l="0" t="0" r="9525" b="0"/>
                  <wp:docPr id="5" name="Picture 7" descr="C:\Users\IKIP\Pictures\1200px-DOI_logo.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IKIP\Pictures\1200px-DOI_logo.svg.png"/>
                          <pic:cNvPicPr>
                            <a:picLocks noChangeAspect="1" noChangeArrowheads="1"/>
                          </pic:cNvPicPr>
                        </pic:nvPicPr>
                        <pic:blipFill>
                          <a:blip r:embed="rId8" cstate="print"/>
                          <a:srcRect/>
                          <a:stretch>
                            <a:fillRect/>
                          </a:stretch>
                        </pic:blipFill>
                        <pic:spPr bwMode="auto">
                          <a:xfrm>
                            <a:off x="0" y="0"/>
                            <a:ext cx="180975" cy="180975"/>
                          </a:xfrm>
                          <a:prstGeom prst="rect">
                            <a:avLst/>
                          </a:prstGeom>
                          <a:noFill/>
                          <a:ln w="9525">
                            <a:noFill/>
                            <a:miter lim="800000"/>
                            <a:headEnd/>
                            <a:tailEnd/>
                          </a:ln>
                        </pic:spPr>
                      </pic:pic>
                    </a:graphicData>
                  </a:graphic>
                </wp:inline>
              </w:drawing>
            </w:r>
            <w:r w:rsidR="00FE26F0" w:rsidRPr="00306B66">
              <w:rPr>
                <w:sz w:val="18"/>
                <w:szCs w:val="18"/>
              </w:rPr>
              <w:t xml:space="preserve"> </w:t>
            </w:r>
            <w:r w:rsidR="00525A96" w:rsidRPr="00EF7B31">
              <w:rPr>
                <w:rFonts w:ascii="Times New Roman" w:hAnsi="Times New Roman" w:cs="Times New Roman"/>
                <w:sz w:val="18"/>
                <w:szCs w:val="18"/>
              </w:rPr>
              <w:t>https</w:t>
            </w:r>
            <w:r w:rsidR="00EF7B31">
              <w:rPr>
                <w:rFonts w:ascii="Times New Roman" w:hAnsi="Times New Roman" w:cs="Times New Roman"/>
                <w:sz w:val="18"/>
                <w:szCs w:val="18"/>
              </w:rPr>
              <w:t>://doi.org/10.33394/jk.v</w:t>
            </w:r>
            <w:proofErr w:type="spellStart"/>
            <w:r w:rsidR="00EF7B31">
              <w:rPr>
                <w:rFonts w:ascii="Times New Roman" w:hAnsi="Times New Roman" w:cs="Times New Roman"/>
                <w:sz w:val="18"/>
                <w:szCs w:val="18"/>
                <w:lang w:val="en-US"/>
              </w:rPr>
              <w:t>xxyyi</w:t>
            </w:r>
            <w:proofErr w:type="spellEnd"/>
          </w:p>
        </w:tc>
        <w:tc>
          <w:tcPr>
            <w:tcW w:w="5220" w:type="dxa"/>
            <w:shd w:val="clear" w:color="auto" w:fill="auto"/>
            <w:vAlign w:val="center"/>
          </w:tcPr>
          <w:p w:rsidR="00FE26F0" w:rsidRPr="00A672B6" w:rsidRDefault="00FE26F0" w:rsidP="008B0BA2">
            <w:pPr>
              <w:spacing w:after="0" w:line="240" w:lineRule="auto"/>
              <w:jc w:val="center"/>
              <w:rPr>
                <w:rFonts w:ascii="Times New Roman" w:eastAsia="Times New Roman" w:hAnsi="Times New Roman" w:cs="Times New Roman"/>
                <w:b/>
                <w:color w:val="000000"/>
                <w:sz w:val="18"/>
                <w:szCs w:val="18"/>
                <w:lang w:val="en-US"/>
              </w:rPr>
            </w:pPr>
            <w:r w:rsidRPr="00306B66">
              <w:rPr>
                <w:rFonts w:ascii="Times New Roman" w:eastAsia="Times New Roman" w:hAnsi="Times New Roman"/>
                <w:sz w:val="18"/>
                <w:szCs w:val="18"/>
              </w:rPr>
              <w:t xml:space="preserve">              </w:t>
            </w:r>
            <w:r w:rsidRPr="00A672B6">
              <w:rPr>
                <w:rFonts w:ascii="Times New Roman" w:eastAsia="Times New Roman" w:hAnsi="Times New Roman"/>
                <w:sz w:val="18"/>
                <w:szCs w:val="18"/>
              </w:rPr>
              <w:t xml:space="preserve">This is an open-access article under the </w:t>
            </w:r>
            <w:r w:rsidR="006128CC">
              <w:fldChar w:fldCharType="begin"/>
            </w:r>
            <w:r w:rsidR="006128CC">
              <w:instrText>HYPERLINK "http://creativecommons.org/licenses/by/4.0/"</w:instrText>
            </w:r>
            <w:r w:rsidR="006128CC">
              <w:fldChar w:fldCharType="separate"/>
            </w:r>
            <w:r w:rsidRPr="00A672B6">
              <w:rPr>
                <w:rFonts w:ascii="Times New Roman" w:eastAsia="Times New Roman" w:hAnsi="Times New Roman"/>
                <w:color w:val="0563C1"/>
                <w:sz w:val="18"/>
                <w:szCs w:val="18"/>
              </w:rPr>
              <w:t>CC-BY</w:t>
            </w:r>
            <w:r w:rsidRPr="00A672B6">
              <w:rPr>
                <w:rFonts w:ascii="Times New Roman" w:eastAsia="Times New Roman" w:hAnsi="Times New Roman"/>
                <w:color w:val="0563C1"/>
                <w:sz w:val="18"/>
                <w:szCs w:val="18"/>
                <w:lang w:val="en-US"/>
              </w:rPr>
              <w:t>-SA</w:t>
            </w:r>
            <w:r w:rsidRPr="00A672B6">
              <w:rPr>
                <w:rFonts w:ascii="Times New Roman" w:eastAsia="Times New Roman" w:hAnsi="Times New Roman"/>
                <w:color w:val="0563C1"/>
                <w:sz w:val="18"/>
                <w:szCs w:val="18"/>
              </w:rPr>
              <w:t xml:space="preserve"> License</w:t>
            </w:r>
            <w:r w:rsidRPr="00A672B6">
              <w:rPr>
                <w:rFonts w:ascii="Times New Roman" w:eastAsia="Times New Roman" w:hAnsi="Times New Roman"/>
                <w:sz w:val="18"/>
                <w:szCs w:val="18"/>
              </w:rPr>
              <w:t>.</w:t>
            </w:r>
            <w:r w:rsidR="006128CC">
              <w:fldChar w:fldCharType="end"/>
            </w:r>
          </w:p>
        </w:tc>
      </w:tr>
    </w:tbl>
    <w:p w:rsidR="009A4BBB" w:rsidRPr="00803216" w:rsidRDefault="00FE26F0" w:rsidP="00FE26F0">
      <w:pPr>
        <w:spacing w:after="120" w:line="240" w:lineRule="auto"/>
        <w:ind w:right="95"/>
        <w:rPr>
          <w:rFonts w:ascii="Times New Roman" w:eastAsia="Times New Roman" w:hAnsi="Times New Roman" w:cs="Times New Roman"/>
          <w:sz w:val="24"/>
          <w:szCs w:val="24"/>
          <w:lang w:val="en-US"/>
        </w:rPr>
      </w:pPr>
      <w:r>
        <w:rPr>
          <w:noProof/>
          <w:lang w:val="en-US"/>
        </w:rPr>
        <w:t xml:space="preserve">                                                                                                                                                                  </w:t>
      </w:r>
      <w:r w:rsidR="00100EF8">
        <w:rPr>
          <w:noProof/>
          <w:lang w:val="en-GB" w:eastAsia="en-GB"/>
        </w:rPr>
        <w:drawing>
          <wp:inline distT="0" distB="0" distL="0" distR="0">
            <wp:extent cx="552450" cy="190500"/>
            <wp:effectExtent l="19050" t="0" r="0" b="0"/>
            <wp:docPr id="2" name="Picture 6" descr="C:\Users\IKIP\Pictures\CC_BY-SA_3.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IKIP\Pictures\CC_BY-SA_3.0.png"/>
                    <pic:cNvPicPr>
                      <a:picLocks noChangeAspect="1" noChangeArrowheads="1"/>
                    </pic:cNvPicPr>
                  </pic:nvPicPr>
                  <pic:blipFill>
                    <a:blip r:embed="rId9" cstate="print"/>
                    <a:srcRect/>
                    <a:stretch>
                      <a:fillRect/>
                    </a:stretch>
                  </pic:blipFill>
                  <pic:spPr bwMode="auto">
                    <a:xfrm>
                      <a:off x="0" y="0"/>
                      <a:ext cx="552450" cy="190500"/>
                    </a:xfrm>
                    <a:prstGeom prst="rect">
                      <a:avLst/>
                    </a:prstGeom>
                    <a:noFill/>
                    <a:ln w="9525">
                      <a:noFill/>
                      <a:miter lim="800000"/>
                      <a:headEnd/>
                      <a:tailEnd/>
                    </a:ln>
                  </pic:spPr>
                </pic:pic>
              </a:graphicData>
            </a:graphic>
          </wp:inline>
        </w:drawing>
      </w:r>
    </w:p>
    <w:p w:rsidR="009A4BBB" w:rsidRPr="00553882" w:rsidRDefault="00A90924" w:rsidP="00555C73">
      <w:pPr>
        <w:shd w:val="clear" w:color="auto" w:fill="FFFFFF"/>
        <w:spacing w:after="0" w:line="240" w:lineRule="auto"/>
        <w:jc w:val="both"/>
        <w:rPr>
          <w:rFonts w:ascii="Times New Roman" w:eastAsia="Times New Roman" w:hAnsi="Times New Roman" w:cs="Times New Roman"/>
          <w:color w:val="000000"/>
          <w:sz w:val="24"/>
          <w:szCs w:val="24"/>
          <w:lang w:val="en-US"/>
        </w:rPr>
      </w:pPr>
      <w:proofErr w:type="spellStart"/>
      <w:r>
        <w:rPr>
          <w:rFonts w:ascii="Times New Roman" w:eastAsia="Times New Roman" w:hAnsi="Times New Roman" w:cs="Times New Roman"/>
          <w:b/>
          <w:color w:val="000000"/>
          <w:sz w:val="24"/>
          <w:szCs w:val="24"/>
          <w:lang w:val="en-US"/>
        </w:rPr>
        <w:lastRenderedPageBreak/>
        <w:t>Pendahuluan</w:t>
      </w:r>
      <w:proofErr w:type="spellEnd"/>
    </w:p>
    <w:p w:rsidR="0023051F" w:rsidRPr="0023051F" w:rsidRDefault="00A90924" w:rsidP="0023051F">
      <w:pPr>
        <w:pStyle w:val="IEEEParagraph"/>
        <w:ind w:firstLine="0"/>
        <w:rPr>
          <w:shd w:val="clear" w:color="auto" w:fill="FFFFFF"/>
        </w:rPr>
      </w:pPr>
      <w:r>
        <w:rPr>
          <w:shd w:val="clear" w:color="auto" w:fill="FFFFFF"/>
          <w:lang w:val="en-GB"/>
        </w:rPr>
        <w:tab/>
      </w:r>
      <w:r w:rsidR="0023051F" w:rsidRPr="0023051F">
        <w:rPr>
          <w:shd w:val="clear" w:color="auto" w:fill="FFFFFF"/>
        </w:rPr>
        <w:t xml:space="preserve">Keberhasilan pembangunan suatu bangsa sangat dipengaruhi oleh Sumber Daya Manusia (SDM), oleh sebab itu pendidikan merupakan sebuah keharusan bagi bangsa Indonesia karena pendidikan adalah dasar pembangunan SDM yang strategis </w:t>
      </w:r>
      <w:r w:rsidR="006128CC" w:rsidRPr="0023051F">
        <w:rPr>
          <w:shd w:val="clear" w:color="auto" w:fill="FFFFFF"/>
          <w:lang w:val="en-GB"/>
        </w:rPr>
        <w:fldChar w:fldCharType="begin" w:fldLock="1"/>
      </w:r>
      <w:r w:rsidR="0023051F" w:rsidRPr="0023051F">
        <w:rPr>
          <w:shd w:val="clear" w:color="auto" w:fill="FFFFFF"/>
          <w:lang w:val="en-GB"/>
        </w:rPr>
        <w:instrText>ADDIN CSL_CITATION {"citationItems":[{"id":"ITEM-1","itemData":{"author":[{"dropping-particle":"","family":"Ali","given":"M","non-dropping-particle":"","parse-names":false,"suffix":""}],"id":"ITEM-1","issued":{"date-parts":[["2009"]]},"publisher":"Grasindo","title":"Pendidikan untuk pembangunan nasional: menuju bangsa Indonesia yang mandiri dan berdaya saing tinggi","type":"book"},"uris":["http://www.mendeley.com/documents/?uuid=3273d640-63c1-480f-a0d3-34c8ea34d339"]},{"id":"ITEM-2","itemData":{"DOI":"10.12928/psikopedagogia.v1i2.4603","ISSN":"2301-6167","abstract":"Semua negara di dunia menyadari pentingnya pendidikan yang bertujuan untuk member petunjuk bagi keberlangsungan hidup suatu bangsa. Titik focus utama dalam meningkatkan pendidikan, yaitu pemerataan pendidikan, mutu pendidikan, relevansi pendidikan, dan efisiensi pengelolaan pendidikan. Peningkatan yang dilakukan harusnya dilakukan secara menyeluruh, tidak secara satu persatu, dan aspek lain diabaikan. Namun, mutu pendidikan dan pemerataan pendidikan di Indonesia masih tertinggal dibandingkan negara-negara lain. Salah sat peningkatan mutu pendidikan yang dilakukan oleh Negara Indonesia adalah dengan menetapkan standar Ujian Nasional, namun masih bermasalah. Kemudian Pemerataan Pendidikan yang dilakukan juga masih bermasalah dengan tidak meratanya kualutas pendidikan di setiap daerah.Perlu diupayakan untuk meningkatkan mutu pendidikan dan pemerataan pendidikan di Indonesia. Perlu diupayakan langkah untuk mengatasi masalah pendidikan tersebut, yaitu dengan diarahkan pada meningkatkan mutu pendidikan pada berbagai aspek, dan peningkatan pendidikan yang dilakukan secara merata di setiap daerah. Kata","author":[{"dropping-particle":"","family":"Idrus","given":"Muhammad","non-dropping-particle":"","parse-names":false,"suffix":""}],"container-title":"PSIKOPEDAGOGIA Jurnal Bimbingan dan Konseling","id":"ITEM-2","issue":"2","issued":{"date-parts":[["2012"]]},"page":"1-10","title":"Mutu Pendidikan Dan Pemerataan Pendidikan Di Daerah/Quality of Education and Regional Educational Equity","type":"article-journal","volume":"1"},"uris":["http://www.mendeley.com/documents/?uuid=fabd1752-7773-4917-8c59-5040f8f0ed7b"]},{"id":"ITEM-3","itemData":{"ISSN":"1978-1938","abstract":"Development of economics determined by many factor, for example by situation of natural resources, ability of human resource, and technology. Many countries expand reference development of political economy still focus on availibility of its natural resources. Experience on some developed countries like Japan and Singapore indication that availibility of natural resources in the reality not such a dominant factor in development of political economy. nations with limitation of natural resources had, in the reality have excellence of comparability in the field of human resource and technology. Development of human resource need dominant attention because of limitation of its natural resources. Development responsibility lay in society and government.","author":[{"dropping-particle":"","family":"Purwanto","given":"Nurtanio Agus","non-dropping-particle":"","parse-names":false,"suffix":""}],"container-title":"Jurnal Manajemen Pendidikan","id":"ITEM-3","issue":"2","issued":{"date-parts":[["2006"]]},"page":"1-7","title":"Kontribusi Pendidikan Bagi Pembangunan Ekonomi Negara","type":"article-journal","volume":"2"},"uris":["http://www.mendeley.com/documents/?uuid=89b40112-4bde-410c-baba-79aa913f1278"]}],"mendeley":{"formattedCitation":"(Ali, 2009; Idrus, 2012; Purwanto, 2006)","plainTextFormattedCitation":"(Ali, 2009; Idrus, 2012; Purwanto, 2006)","previouslyFormattedCitation":"(Ali, 2009; Idrus, 2012; Purwanto, 2006)"},"properties":{"noteIndex":0},"schema":"https://github.com/citation-style-language/schema/raw/master/csl-citation.json"}</w:instrText>
      </w:r>
      <w:r w:rsidR="006128CC" w:rsidRPr="0023051F">
        <w:rPr>
          <w:shd w:val="clear" w:color="auto" w:fill="FFFFFF"/>
          <w:lang w:val="en-GB"/>
        </w:rPr>
        <w:fldChar w:fldCharType="separate"/>
      </w:r>
      <w:r w:rsidR="0023051F" w:rsidRPr="0023051F">
        <w:rPr>
          <w:noProof/>
          <w:shd w:val="clear" w:color="auto" w:fill="FFFFFF"/>
          <w:lang w:val="en-GB"/>
        </w:rPr>
        <w:t>(Ali, 2009; Idrus, 2012; Purwanto, 2006)</w:t>
      </w:r>
      <w:r w:rsidR="006128CC" w:rsidRPr="0023051F">
        <w:rPr>
          <w:shd w:val="clear" w:color="auto" w:fill="FFFFFF"/>
          <w:lang w:val="en-GB"/>
        </w:rPr>
        <w:fldChar w:fldCharType="end"/>
      </w:r>
      <w:r w:rsidR="0023051F" w:rsidRPr="0023051F">
        <w:rPr>
          <w:shd w:val="clear" w:color="auto" w:fill="FFFFFF"/>
        </w:rPr>
        <w:t>.</w:t>
      </w:r>
      <w:r w:rsidR="0023051F" w:rsidRPr="0023051F">
        <w:rPr>
          <w:iCs/>
          <w:shd w:val="clear" w:color="auto" w:fill="FFFFFF"/>
        </w:rPr>
        <w:t xml:space="preserve"> Pendidikan berdasarkan pasal 1 ayat (1) UU. No. 20 Tahun 2003 tentang Sistem Pendidikan Nasional  menyatakan bahwa “Pendidikan adalah usaha sadar dan terencana untuk mewujudkan suasana belajar dan proses pembelajaran agar peserta didik secara aktif mengembangkan potensi dirinya untuk memiliki kekuatan spiritual keagamaan, pengendalian diri, kepribadian, kecerdasan, akhlak mulia serta keterampilan yang diperlukan dirinya, masyarakat, bangsa dan negara”. Pendapat ahli mendefinisikan pendidikan sebagai </w:t>
      </w:r>
      <w:r w:rsidR="0023051F" w:rsidRPr="0023051F">
        <w:rPr>
          <w:shd w:val="clear" w:color="auto" w:fill="FFFFFF"/>
        </w:rPr>
        <w:t>pengaruh, bantuan atau tuntutan yang diberikan oleh orang yang bertanggungjawab kepada peserta didik</w:t>
      </w:r>
      <w:r w:rsidR="0023051F" w:rsidRPr="0023051F">
        <w:rPr>
          <w:shd w:val="clear" w:color="auto" w:fill="FFFFFF"/>
          <w:lang w:val="en-GB"/>
        </w:rPr>
        <w:t xml:space="preserve"> </w:t>
      </w:r>
      <w:r w:rsidR="006128CC" w:rsidRPr="0023051F">
        <w:rPr>
          <w:shd w:val="clear" w:color="auto" w:fill="FFFFFF"/>
          <w:lang w:val="en-GB"/>
        </w:rPr>
        <w:fldChar w:fldCharType="begin" w:fldLock="1"/>
      </w:r>
      <w:r w:rsidR="0023051F" w:rsidRPr="0023051F">
        <w:rPr>
          <w:shd w:val="clear" w:color="auto" w:fill="FFFFFF"/>
          <w:lang w:val="en-GB"/>
        </w:rPr>
        <w:instrText>ADDIN CSL_CITATION {"citationItems":[{"id":"ITEM-1","itemData":{"ISBN":"979-518-174-2","author":[{"dropping-particle":"","family":"Ahmadi","given":"Abu","non-dropping-particle":"","parse-names":false,"suffix":""},{"dropping-particle":"","family":"Ubhiyati","given":"Nur","non-dropping-particle":"","parse-names":false,"suffix":""}],"id":"ITEM-1","issued":{"date-parts":[["2007"]]},"publisher":"Rineka Cipta","publisher-place":"Jakrta","title":"Ilmu Pendidikan","type":"book"},"uris":["http://www.mendeley.com/documents/?uuid=8e7a72c9-e5ab-4024-bdad-0d9129bd4f39"]}],"mendeley":{"formattedCitation":"(Ahmadi &amp; Ubhiyati, 2007)","plainTextFormattedCitation":"(Ahmadi &amp; Ubhiyati, 2007)","previouslyFormattedCitation":"(Ahmadi &amp; Ubhiyati, 2007)"},"properties":{"noteIndex":0},"schema":"https://github.com/citation-style-language/schema/raw/master/csl-citation.json"}</w:instrText>
      </w:r>
      <w:r w:rsidR="006128CC" w:rsidRPr="0023051F">
        <w:rPr>
          <w:shd w:val="clear" w:color="auto" w:fill="FFFFFF"/>
          <w:lang w:val="en-GB"/>
        </w:rPr>
        <w:fldChar w:fldCharType="separate"/>
      </w:r>
      <w:r w:rsidR="0023051F" w:rsidRPr="0023051F">
        <w:rPr>
          <w:noProof/>
          <w:shd w:val="clear" w:color="auto" w:fill="FFFFFF"/>
          <w:lang w:val="en-GB"/>
        </w:rPr>
        <w:t>(Ahmadi &amp; Ubhiyati, 2007)</w:t>
      </w:r>
      <w:r w:rsidR="006128CC" w:rsidRPr="0023051F">
        <w:rPr>
          <w:shd w:val="clear" w:color="auto" w:fill="FFFFFF"/>
          <w:lang w:val="en-GB"/>
        </w:rPr>
        <w:fldChar w:fldCharType="end"/>
      </w:r>
      <w:r w:rsidR="0023051F" w:rsidRPr="0023051F">
        <w:rPr>
          <w:shd w:val="clear" w:color="auto" w:fill="FFFFFF"/>
        </w:rPr>
        <w:t xml:space="preserve">. Suherman dalam </w:t>
      </w:r>
      <w:r w:rsidR="006128CC" w:rsidRPr="0023051F">
        <w:rPr>
          <w:shd w:val="clear" w:color="auto" w:fill="FFFFFF"/>
          <w:lang w:val="en-GB"/>
        </w:rPr>
        <w:fldChar w:fldCharType="begin" w:fldLock="1"/>
      </w:r>
      <w:r w:rsidR="0023051F" w:rsidRPr="0023051F">
        <w:rPr>
          <w:shd w:val="clear" w:color="auto" w:fill="FFFFFF"/>
        </w:rPr>
        <w:instrText>ADDIN CSL_CITATION {"citationItems":[{"id":"ITEM-1","itemData":{"author":[{"dropping-particle":"","family":"Sahwiyadi","given":"","non-dropping-particle":"","parse-names":false,"suffix":""}],"container-title":"Realita Jurnal Penelitian dan Kebudayaan Islam","id":"ITEM-1","issue":"2","issued":{"date-parts":[["2018"]]},"page":"141-155","title":"Pendidikan anak perspektif munif chatib dan relevansinya dengan pendidikan anak dalam islam","type":"article-journal","volume":"16"},"uris":["http://www.mendeley.com/documents/?uuid=c5fbace9-f89a-4fdf-82f2-437c08c90b8f"]}],"mendeley":{"formattedCitation":"(Sahwiyadi, 2018)","plainTextFormattedCitation":"(Sahwiyadi, 2018)","previouslyFormattedCitation":"(Sahwiyadi, 2018)"},"properties":{"noteIndex":0},"schema":"https://github.com/citation-style-language/schema/raw/master/csl-citation.json"}</w:instrText>
      </w:r>
      <w:r w:rsidR="006128CC" w:rsidRPr="0023051F">
        <w:rPr>
          <w:shd w:val="clear" w:color="auto" w:fill="FFFFFF"/>
          <w:lang w:val="en-GB"/>
        </w:rPr>
        <w:fldChar w:fldCharType="separate"/>
      </w:r>
      <w:r w:rsidR="0023051F" w:rsidRPr="0023051F">
        <w:rPr>
          <w:noProof/>
          <w:shd w:val="clear" w:color="auto" w:fill="FFFFFF"/>
        </w:rPr>
        <w:t>(Sahwiyadi, 2018)</w:t>
      </w:r>
      <w:r w:rsidR="006128CC" w:rsidRPr="0023051F">
        <w:rPr>
          <w:shd w:val="clear" w:color="auto" w:fill="FFFFFF"/>
          <w:lang w:val="en-GB"/>
        </w:rPr>
        <w:fldChar w:fldCharType="end"/>
      </w:r>
      <w:r w:rsidR="0023051F" w:rsidRPr="0023051F">
        <w:rPr>
          <w:shd w:val="clear" w:color="auto" w:fill="FFFFFF"/>
        </w:rPr>
        <w:t xml:space="preserve"> mendefinisikan pendidikan sebagai proses penyampaian “nilai” atau “tatanan” dari pendidik kepada peserta didik agar peserta didik memperoleh IPTEK yang dapat digunakan dalam memenuhi  kebutuhan hidup dan kehidupannya.</w:t>
      </w:r>
    </w:p>
    <w:p w:rsidR="0023051F" w:rsidRPr="0023051F" w:rsidRDefault="0023051F" w:rsidP="0023051F">
      <w:pPr>
        <w:pStyle w:val="IEEEParagraph"/>
        <w:ind w:firstLine="0"/>
        <w:rPr>
          <w:shd w:val="clear" w:color="auto" w:fill="FFFFFF"/>
        </w:rPr>
      </w:pPr>
      <w:r w:rsidRPr="0023051F">
        <w:rPr>
          <w:shd w:val="clear" w:color="auto" w:fill="FFFFFF"/>
        </w:rPr>
        <w:tab/>
        <w:t>Berdasarkan pengertian p</w:t>
      </w:r>
      <w:r w:rsidRPr="0023051F">
        <w:rPr>
          <w:iCs/>
          <w:shd w:val="clear" w:color="auto" w:fill="FFFFFF"/>
        </w:rPr>
        <w:t xml:space="preserve">endidikan tersebut dapat dipahami bahwa pendidikan adalah </w:t>
      </w:r>
      <w:r w:rsidRPr="0023051F">
        <w:rPr>
          <w:shd w:val="clear" w:color="auto" w:fill="FFFFFF"/>
        </w:rPr>
        <w:t>suatu hal yang sangat esensial dalam proses pemanusiaan, terutama dalam masyarakat yang berbudaya,</w:t>
      </w:r>
      <w:r w:rsidRPr="0023051F">
        <w:rPr>
          <w:iCs/>
          <w:shd w:val="clear" w:color="auto" w:fill="FFFFFF"/>
        </w:rPr>
        <w:t xml:space="preserve"> sehingga setiap warga negara memiliki hak mendapatkan pendidikan yang layak untuk mengembangkan potensi yang dimilikinya guna menjalani hidup di era globalisasi yang penuh persaingan </w:t>
      </w:r>
      <w:r w:rsidR="006128CC" w:rsidRPr="0023051F">
        <w:rPr>
          <w:iCs/>
          <w:shd w:val="clear" w:color="auto" w:fill="FFFFFF"/>
          <w:lang w:val="en-GB"/>
        </w:rPr>
        <w:fldChar w:fldCharType="begin" w:fldLock="1"/>
      </w:r>
      <w:r w:rsidRPr="0023051F">
        <w:rPr>
          <w:iCs/>
          <w:shd w:val="clear" w:color="auto" w:fill="FFFFFF"/>
        </w:rPr>
        <w:instrText>ADDIN CSL_CITATION {"citationItems":[{"id":"ITEM-1","itemData":{"ISSN":"1829-7706","abstract":"The right to obtain the basic education is the right of every citizen as stipulated in the constitution and the fulfillment of such right is a great respect for human rights. Indonesia is legal state that has guaranteed and regulated the legal protection of the right to basic education for Indonesian citizens aged seven to fifteen years. In conducting basic level education has been done since the existence of 4th amendment of UUD1945 Constitution which further followed up with the Law on National Education System No. 20 of 2003. In Aditian, Law No. 39 of 1999 on Human Rights also provide legal protection for Indonesian citizens to be able to obtain the education although not explicit and explicit set free education at the basic level. The process of implementing basic education its responsibilities between local government and society. Funding of education is share responsibility between central government, local government and society.","author":[{"dropping-particle":"","family":"Nadziroh","given":"","non-dropping-particle":"","parse-names":false,"suffix":""},{"dropping-particle":"","family":"Chairiyah","given":"","non-dropping-particle":"","parse-names":false,"suffix":""},{"dropping-particle":"","family":"Pratomo","given":"Wahid","non-dropping-particle":"","parse-names":false,"suffix":""}],"container-title":"Trihayu: Jurnal Pendidikan Ke-SD-an","id":"ITEM-1","issue":"3","issued":{"date-parts":[["2018"]]},"page":"400-405","title":"Hak Warga Negara Dalam Memperoleh Pendidikan","type":"article-journal","volume":"4"},"uris":["http://www.mendeley.com/documents/?uuid=20b26c70-c196-4417-92d3-3e0603547107"]},{"id":"ITEM-2","itemData":{"abstract":"Tilaar, H.A.R.2002. . Jakarta:Grasindo","author":[{"dropping-particle":"","family":"Tilaar","given":"HAR","non-dropping-particle":"","parse-names":false,"suffix":""}],"id":"ITEM-2","issued":{"date-parts":[["2002"]]},"publisher":"Grasindo","publisher-place":"Jakarta","title":"Perubahan Sosial dan Pendidikan","type":"book"},"uris":["http://www.mendeley.com/documents/?uuid=17b1d4be-c155-4b89-af55-4a883abece83"]}],"mendeley":{"formattedCitation":"(Nadziroh, Chairiyah, &amp; Pratomo, 2018; Tilaar, 2002)","plainTextFormattedCitation":"(Nadziroh, Chairiyah, &amp; Pratomo, 2018; Tilaar, 2002)","previouslyFormattedCitation":"(Nadziroh, Chairiyah, &amp; Pratomo, 2018; Tilaar, 2002)"},"properties":{"noteIndex":0},"schema":"https://github.com/citation-style-language/schema/raw/master/csl-citation.json"}</w:instrText>
      </w:r>
      <w:r w:rsidR="006128CC" w:rsidRPr="0023051F">
        <w:rPr>
          <w:iCs/>
          <w:shd w:val="clear" w:color="auto" w:fill="FFFFFF"/>
          <w:lang w:val="en-GB"/>
        </w:rPr>
        <w:fldChar w:fldCharType="separate"/>
      </w:r>
      <w:r w:rsidRPr="0023051F">
        <w:rPr>
          <w:iCs/>
          <w:noProof/>
          <w:shd w:val="clear" w:color="auto" w:fill="FFFFFF"/>
        </w:rPr>
        <w:t>(Nadziroh, Chairiyah, &amp; Pratomo, 2018; Tilaar, 2002)</w:t>
      </w:r>
      <w:r w:rsidR="006128CC" w:rsidRPr="0023051F">
        <w:rPr>
          <w:iCs/>
          <w:shd w:val="clear" w:color="auto" w:fill="FFFFFF"/>
          <w:lang w:val="en-GB"/>
        </w:rPr>
        <w:fldChar w:fldCharType="end"/>
      </w:r>
      <w:r w:rsidRPr="0023051F">
        <w:rPr>
          <w:iCs/>
          <w:shd w:val="clear" w:color="auto" w:fill="FFFFFF"/>
        </w:rPr>
        <w:t>.</w:t>
      </w:r>
      <w:r w:rsidRPr="0023051F">
        <w:rPr>
          <w:shd w:val="clear" w:color="auto" w:fill="FFFFFF"/>
        </w:rPr>
        <w:t xml:space="preserve"> Hal ini juga sebagaimana diamanatkan oleh Undang-Undang Pasal 28C (1) yang menyatakan: “Setiap orang berhak mengembangkan diri melalui pemenuhan kebutuhan dasarnya, berhak mendapat pendidikan dan memperoleh manfaat dari ilmu pengetahuan dan teknologi, seni dan budaya, demi meningkatkan kualitas hidupnya dan demi kesejahteraan umat manusia”. </w:t>
      </w:r>
    </w:p>
    <w:p w:rsidR="0023051F" w:rsidRPr="0023051F" w:rsidRDefault="0023051F" w:rsidP="0023051F">
      <w:pPr>
        <w:pStyle w:val="IEEEParagraph"/>
        <w:ind w:firstLine="0"/>
        <w:rPr>
          <w:iCs/>
          <w:shd w:val="clear" w:color="auto" w:fill="FFFFFF"/>
          <w:lang w:val="en-GB"/>
        </w:rPr>
      </w:pPr>
      <w:r w:rsidRPr="0023051F">
        <w:rPr>
          <w:iCs/>
          <w:shd w:val="clear" w:color="auto" w:fill="FFFFFF"/>
        </w:rPr>
        <w:tab/>
        <w:t>Dewasa ini, kondisi pendidikan di Indonesia belum seperti yang dicita-citakan dan diamanatkan oleh undang-undang. Pemerataan pendidikan belum sepenuhnya tercapai. Bahkan isu pemerataan pendidikan bukan hanya di Indonesia tapi juga di negara lain</w:t>
      </w:r>
      <w:r w:rsidRPr="0023051F">
        <w:rPr>
          <w:iCs/>
          <w:shd w:val="clear" w:color="auto" w:fill="FFFFFF"/>
          <w:lang w:val="en-GB"/>
        </w:rPr>
        <w:t xml:space="preserve"> </w:t>
      </w:r>
      <w:r w:rsidR="006128CC" w:rsidRPr="0023051F">
        <w:rPr>
          <w:iCs/>
          <w:shd w:val="clear" w:color="auto" w:fill="FFFFFF"/>
          <w:lang w:val="en-GB"/>
        </w:rPr>
        <w:fldChar w:fldCharType="begin" w:fldLock="1"/>
      </w:r>
      <w:r w:rsidRPr="0023051F">
        <w:rPr>
          <w:iCs/>
          <w:shd w:val="clear" w:color="auto" w:fill="FFFFFF"/>
          <w:lang w:val="en-GB"/>
        </w:rPr>
        <w:instrText>ADDIN CSL_CITATION {"citationItems":[{"id":"ITEM-1","itemData":{"ISBN":"978-0691615776","abstract":"Cummings, W. K. (2014). (Vol. 869)..","author":[{"dropping-particle":"","family":"Chummings","given":"Wiliam K","non-dropping-particle":"","parse-names":false,"suffix":""}],"id":"ITEM-1","issued":{"date-parts":[["2014"]]},"publisher":"Princeton University Press","publisher-place":"New Jersey","title":"Education and equality in Japan","type":"book"},"uris":["http://www.mendeley.com/documents/?uuid=daec651b-9ebe-4691-adab-94bde48de57d"]},{"id":"ITEM-2","itemData":{"DOI":"10.2304/eerj.2004.3.4.8","ISBN":"0306473518","ISSN":"1474-9041","author":[{"dropping-particle":"","family":"David","given":"Miriam E.","non-dropping-particle":"","parse-names":false,"suffix":""}],"container-title":"European Educational Research Journal","id":"ITEM-2","issue":"4","issued":{"date-parts":[["2004"]]},"page":"813-819","title":"Equality and Equity in Higher Education: Learning to Develop New Paradigms from the US Experience?","type":"article-journal","volume":"3"},"uris":["http://www.mendeley.com/documents/?uuid=43a66224-cb74-4452-a53b-0b3ad589de86"]},{"id":"ITEM-3","itemData":{"DOI":"10.1177/1477878505053298","ISBN":"1477878505","ISSN":"14778785","abstract":"Transforming schools into truly egalitarian institutions requires a holistic and integrated approach. Using a robust conception of ‘equality of condition’, we examine key dimensions of equality that are central to both the purposes and processes of education: equality in educational and related resources; equality of respect and recognition; equality of power; and equality of love, care and solidarity. We indicate in each case some of the major changes that need to occur if we are to promote equality of condition. Starting with inequalities of resources, and in particular with inequalities tied to social class, we argue for abandoning rigid grouping policies, challenging the power of parents in relation to both selection and grouping, and changing curricula and assessment systems to make them more inclusive of the wide range of human intelligences. In relation to respect and recognition, we call for much more inclusive processes for respecting differences, not only in schools’ organizational cultures, but also in their curriculum, pedagogy and assessment systems. Regarding inequalities of power, we call for democratization of both teacher-student relationships and school and college organization. For promoting equality of love, care and solidarity, we argue that schools need to develop an appreciation of the intrinsic role that emotions play in the process of teaching and learning, to provide a space for students and teachers to talk about their feelings and concerns, and to devise educational experiences that will enable students to develop their emotional skills or personal intelligences as a discrete area of human capability. © 2005, Sage Publications. All rights reserved.","author":[{"dropping-particle":"","family":"Lynch","given":"Kathleen","non-dropping-particle":"","parse-names":false,"suffix":""},{"dropping-particle":"","family":"Baker","given":"John","non-dropping-particle":"","parse-names":false,"suffix":""}],"container-title":"Theory and Research in Education","id":"ITEM-3","issue":"2","issued":{"date-parts":[["2005"]]},"page":"131-164","title":"Equality in education:An equality of condition perspective","type":"article-journal","volume":"3"},"uris":["http://www.mendeley.com/documents/?uuid=52104773-930d-44f5-94ac-14b6c761d075"]},{"id":"ITEM-4","itemData":{"DOI":"10.1080/09620214.2018.1531229","ISBN":"9781447330653","ISSN":"0962-0214","abstract":"This book brings Brian Jackson and Dennis Marsden's pioneering Education and the Working Class from 1962 up to date for the 21st century and reveals what we can do to achieve a fairer education system. About the author, p.viii -- Acknowledgements, p.ix -- List of figures and tables, p.x -- List of abbreviations -- Introduction: a personal reflection, p.1 -- one. Why can't education compensate for society?, p.11 -- two. The history of class in education, p.29 -- three. Working-class educational experiences, p.57 -- four. Class in the classroom, p.75 -- five. Social mobility: a problematic solution, p.101 -- six. The middle and upper classes: getting the 'best' for your own child, p.131 -- seven. Class feeling: troubling the soul and preying on the psyche, p.155 -- eight. Conclusion, p.175 -- Epilogue: thinking through class, p.197 -- Notes, p.201 -- References, p.211 -- Index, p.231","author":[{"dropping-particle":"","family":"Reay","given":"Diane","non-dropping-particle":"","parse-names":false,"suffix":""}],"container-title":"International Studies in Sociology of Education","id":"ITEM-4","issue":"4","issued":{"date-parts":[["2018"]]},"page":"453-456","publisher":"Routledge","title":"Miseducation: inequality, education and the working classes","type":"article-journal","volume":"27"},"uris":["http://www.mendeley.com/documents/?uuid=4b647f3a-0f4a-4366-bc57-ac2907207b72"]},{"id":"ITEM-5","itemData":{"DOI":"10.1111/j.1467-6435.2008.00402.x","ISSN":"00235962","abstract":"We provide a measure of equality of educational opportunity in 54 countries, estimated as the effect of family background on student performance in two international TIMSS tests. Using cross-country variation in education policies and its interaction with family background at the student level, we then estimate how equality is related to organizational features of the education system. We find that equality of opportunity is positively related to late tracking into different school types and to longer pre-school education. Pre-school enrollment has an inverted U-shaped relationship with equality. Equality is negatively related to private school financing, but positively to private provision. © Journal compilation © 2008 Blackwell Publishing Ltd.","author":[{"dropping-particle":"","family":"Schutz","given":"Gabriela","non-dropping-particle":"","parse-names":false,"suffix":""},{"dropping-particle":"","family":"Ursprung","given":"Heinrich W.","non-dropping-particle":"","parse-names":false,"suffix":""},{"dropping-particle":"","family":"Woessmann","given":"Ludger","non-dropping-particle":"","parse-names":false,"suffix":""}],"container-title":"Kyklos","id":"ITEM-5","issue":"2","issued":{"date-parts":[["2008"]]},"page":"279-308","title":"Education policy and equality of opportunity","type":"article-journal","volume":"61"},"uris":["http://www.mendeley.com/documents/?uuid=a56b52a7-f56b-4b75-bec4-869c8565e26a"]},{"id":"ITEM-6","itemData":{"DOI":"10.1080/21582041.2018.1433314","author":[{"dropping-particle":"","family":"Tchamyou","given":"Vanessa Simen","non-dropping-particle":"","parse-names":false,"suffix":""}],"container-title":"Contemporary Social Science Journal of the Academy of Social Sciences","id":"ITEM-6","issued":{"date-parts":[["2018"]]},"page":"1-9","title":"Education, lifelong learning, inequality and financial access: Evidence from African countries","type":"article-journal"},"uris":["http://www.mendeley.com/documents/?uuid=df329085-16ef-4d49-b5d3-bd57affd18a7"]}],"mendeley":{"formattedCitation":"(Chummings, 2014; David, 2004; Lynch &amp; Baker, 2005; Reay, 2018; Schutz, Ursprung, &amp; Woessmann, 2008; Tchamyou, 2018)","plainTextFormattedCitation":"(Chummings, 2014; David, 2004; Lynch &amp; Baker, 2005; Reay, 2018; Schutz, Ursprung, &amp; Woessmann, 2008; Tchamyou, 2018)","previouslyFormattedCitation":"(Chummings, 2014; David, 2004; Lynch &amp; Baker, 2005; Reay, 2018; Schutz, Ursprung, &amp; Woessmann, 2008; Tchamyou, 2018)"},"properties":{"noteIndex":0},"schema":"https://github.com/citation-style-language/schema/raw/master/csl-citation.json"}</w:instrText>
      </w:r>
      <w:r w:rsidR="006128CC" w:rsidRPr="0023051F">
        <w:rPr>
          <w:iCs/>
          <w:shd w:val="clear" w:color="auto" w:fill="FFFFFF"/>
          <w:lang w:val="en-GB"/>
        </w:rPr>
        <w:fldChar w:fldCharType="separate"/>
      </w:r>
      <w:r w:rsidRPr="0023051F">
        <w:rPr>
          <w:iCs/>
          <w:noProof/>
          <w:shd w:val="clear" w:color="auto" w:fill="FFFFFF"/>
          <w:lang w:val="en-GB"/>
        </w:rPr>
        <w:t>(Chummings, 2014; David, 2004; Lynch &amp; Baker, 2005; Reay, 2018; Schutz, Ursprung, &amp; Woessmann, 2008; Tchamyou, 2018)</w:t>
      </w:r>
      <w:r w:rsidR="006128CC" w:rsidRPr="0023051F">
        <w:rPr>
          <w:iCs/>
          <w:shd w:val="clear" w:color="auto" w:fill="FFFFFF"/>
          <w:lang w:val="en-GB"/>
        </w:rPr>
        <w:fldChar w:fldCharType="end"/>
      </w:r>
      <w:r w:rsidRPr="0023051F">
        <w:rPr>
          <w:iCs/>
          <w:color w:val="FF0000"/>
          <w:shd w:val="clear" w:color="auto" w:fill="FFFFFF"/>
          <w:lang w:val="en-GB"/>
        </w:rPr>
        <w:t xml:space="preserve">. </w:t>
      </w:r>
      <w:r w:rsidRPr="0023051F">
        <w:rPr>
          <w:iCs/>
          <w:shd w:val="clear" w:color="auto" w:fill="FFFFFF"/>
        </w:rPr>
        <w:t>Adapun pembangunan pendidikan di Indonesia memiliki dua dimensi penting yang menjadi permasalahan dalam pembangunan pendidikan hingga saat ini yaitu perluasan akses pendidikan dan pemerataan pendidikan</w:t>
      </w:r>
      <w:r w:rsidRPr="0023051F">
        <w:rPr>
          <w:iCs/>
          <w:shd w:val="clear" w:color="auto" w:fill="FFFFFF"/>
          <w:lang w:val="en-GB"/>
        </w:rPr>
        <w:t xml:space="preserve"> </w:t>
      </w:r>
      <w:r w:rsidR="006128CC" w:rsidRPr="0023051F">
        <w:rPr>
          <w:iCs/>
          <w:shd w:val="clear" w:color="auto" w:fill="FFFFFF"/>
          <w:lang w:val="en-GB"/>
        </w:rPr>
        <w:fldChar w:fldCharType="begin" w:fldLock="1"/>
      </w:r>
      <w:r w:rsidRPr="0023051F">
        <w:rPr>
          <w:iCs/>
          <w:shd w:val="clear" w:color="auto" w:fill="FFFFFF"/>
          <w:lang w:val="en-GB"/>
        </w:rPr>
        <w:instrText>ADDIN CSL_CITATION {"citationItems":[{"id":"ITEM-1","itemData":{"abstract":"Pembangunan pendidikan di Indonesia memiliki dua dimensi penting yang sering menjadi permasalahan selama ini yaitu masalah perluasan akses pendidikan dan kedua pemerataan pendidikan. Kedua masalah itu hingga saat ini masih menjadi polemik di dalam pembangunan pendidikan di Indonesia. Banyak faktor yang memengaruhi di dalam pelaksanaan dan pemerataan pendidikan tersebut. Perluasan ditandai dengan mudahnya masyarakat (warga negara) untuk memperoleh pendidikan, sedangkan pemerataan pendidikan adalah suatu kedaan yang sama antara pelaksanaan pendidikan yang dilaksanakan baik yang berada di kota maupun di desa.","author":[{"dropping-particle":"","family":"Hakim","given":"Lukman","non-dropping-particle":"","parse-names":false,"suffix":""}],"container-title":"EduTech: Jurnal Ilmu Pendidikan dan Ilmu Sosial","id":"ITEM-1","issue":"1","issued":{"date-parts":[["2016"]]},"page":"53-64","title":"Pemerataan akses pendidikan bagi rakyat sesuai dengan amanat Undang-Undang Nomor 20 Tahun 2003 tentang Sistem Pendidikan Nasional","type":"article-journal","volume":"2"},"uris":["http://www.mendeley.com/documents/?uuid=72ab534b-c107-4c0f-9e1b-80984e66690d"]}],"mendeley":{"formattedCitation":"(Hakim, 2016)","plainTextFormattedCitation":"(Hakim, 2016)","previouslyFormattedCitation":"(Hakim, 2016)"},"properties":{"noteIndex":0},"schema":"https://github.com/citation-style-language/schema/raw/master/csl-citation.json"}</w:instrText>
      </w:r>
      <w:r w:rsidR="006128CC" w:rsidRPr="0023051F">
        <w:rPr>
          <w:iCs/>
          <w:shd w:val="clear" w:color="auto" w:fill="FFFFFF"/>
          <w:lang w:val="en-GB"/>
        </w:rPr>
        <w:fldChar w:fldCharType="separate"/>
      </w:r>
      <w:r w:rsidRPr="0023051F">
        <w:rPr>
          <w:iCs/>
          <w:noProof/>
          <w:shd w:val="clear" w:color="auto" w:fill="FFFFFF"/>
          <w:lang w:val="en-GB"/>
        </w:rPr>
        <w:t>(Hakim, 2016)</w:t>
      </w:r>
      <w:r w:rsidR="006128CC" w:rsidRPr="0023051F">
        <w:rPr>
          <w:iCs/>
          <w:shd w:val="clear" w:color="auto" w:fill="FFFFFF"/>
          <w:lang w:val="en-GB"/>
        </w:rPr>
        <w:fldChar w:fldCharType="end"/>
      </w:r>
      <w:r w:rsidRPr="0023051F">
        <w:rPr>
          <w:iCs/>
          <w:shd w:val="clear" w:color="auto" w:fill="FFFFFF"/>
          <w:lang w:val="en-GB"/>
        </w:rPr>
        <w:t xml:space="preserve">. </w:t>
      </w:r>
      <w:r w:rsidRPr="0023051F">
        <w:rPr>
          <w:iCs/>
          <w:shd w:val="clear" w:color="auto" w:fill="FFFFFF"/>
        </w:rPr>
        <w:t xml:space="preserve">Ketidak merataan pendidikan meliputi dua aspek yaitu kualitas pendidikan </w:t>
      </w:r>
      <w:r w:rsidRPr="0023051F">
        <w:rPr>
          <w:i/>
          <w:iCs/>
          <w:shd w:val="clear" w:color="auto" w:fill="FFFFFF"/>
        </w:rPr>
        <w:t>(Service Learning)</w:t>
      </w:r>
      <w:r w:rsidRPr="0023051F">
        <w:rPr>
          <w:iCs/>
          <w:shd w:val="clear" w:color="auto" w:fill="FFFFFF"/>
        </w:rPr>
        <w:t xml:space="preserve"> dan kuantitas pendidikan (Akses, persebaran sekolah, perbandingan jumlah sekolah dengan penduduk) dan sebagainya</w:t>
      </w:r>
      <w:r w:rsidRPr="0023051F">
        <w:rPr>
          <w:iCs/>
          <w:shd w:val="clear" w:color="auto" w:fill="FFFFFF"/>
          <w:lang w:val="en-GB"/>
        </w:rPr>
        <w:t xml:space="preserve"> </w:t>
      </w:r>
      <w:r w:rsidR="006128CC" w:rsidRPr="0023051F">
        <w:rPr>
          <w:iCs/>
          <w:shd w:val="clear" w:color="auto" w:fill="FFFFFF"/>
          <w:lang w:val="en-GB"/>
        </w:rPr>
        <w:fldChar w:fldCharType="begin" w:fldLock="1"/>
      </w:r>
      <w:r w:rsidRPr="0023051F">
        <w:rPr>
          <w:iCs/>
          <w:shd w:val="clear" w:color="auto" w:fill="FFFFFF"/>
          <w:lang w:val="en-GB"/>
        </w:rPr>
        <w:instrText>ADDIN CSL_CITATION {"citationItems":[{"id":"ITEM-1","itemData":{"author":[{"dropping-particle":"","family":"Wiratama","given":"Hadi","non-dropping-particle":"","parse-names":false,"suffix":""}],"id":"ITEM-1","issued":{"date-parts":[["2015"]]},"publisher":"Digital Repository Universitas Negeri Medan","publisher-place":"Medan","title":"Analisis Persebaran Dan Ketersediaan Sekolah Menengah Di Kota Tanjungbalai Tahun 2014","type":"article"},"uris":["http://www.mendeley.com/documents/?uuid=09aaeb4f-eaed-4fff-99c6-59b196b0ef7c"]}],"mendeley":{"formattedCitation":"(Wiratama, 2015)","plainTextFormattedCitation":"(Wiratama, 2015)","previouslyFormattedCitation":"(Wiratama, 2015)"},"properties":{"noteIndex":0},"schema":"https://github.com/citation-style-language/schema/raw/master/csl-citation.json"}</w:instrText>
      </w:r>
      <w:r w:rsidR="006128CC" w:rsidRPr="0023051F">
        <w:rPr>
          <w:iCs/>
          <w:shd w:val="clear" w:color="auto" w:fill="FFFFFF"/>
          <w:lang w:val="en-GB"/>
        </w:rPr>
        <w:fldChar w:fldCharType="separate"/>
      </w:r>
      <w:r w:rsidRPr="0023051F">
        <w:rPr>
          <w:iCs/>
          <w:noProof/>
          <w:shd w:val="clear" w:color="auto" w:fill="FFFFFF"/>
          <w:lang w:val="en-GB"/>
        </w:rPr>
        <w:t>(Wiratama, 2015)</w:t>
      </w:r>
      <w:r w:rsidR="006128CC" w:rsidRPr="0023051F">
        <w:rPr>
          <w:iCs/>
          <w:shd w:val="clear" w:color="auto" w:fill="FFFFFF"/>
          <w:lang w:val="en-GB"/>
        </w:rPr>
        <w:fldChar w:fldCharType="end"/>
      </w:r>
      <w:r w:rsidRPr="0023051F">
        <w:rPr>
          <w:iCs/>
          <w:shd w:val="clear" w:color="auto" w:fill="FFFFFF"/>
          <w:lang w:val="en-GB"/>
        </w:rPr>
        <w:t>.</w:t>
      </w:r>
    </w:p>
    <w:p w:rsidR="0023051F" w:rsidRPr="0023051F" w:rsidRDefault="0023051F" w:rsidP="0023051F">
      <w:pPr>
        <w:pStyle w:val="IEEEParagraph"/>
        <w:ind w:firstLine="0"/>
        <w:rPr>
          <w:shd w:val="clear" w:color="auto" w:fill="FFFFFF"/>
          <w:lang w:val="en-GB"/>
        </w:rPr>
      </w:pPr>
      <w:r w:rsidRPr="0023051F">
        <w:rPr>
          <w:iCs/>
          <w:shd w:val="clear" w:color="auto" w:fill="FFFFFF"/>
        </w:rPr>
        <w:tab/>
        <w:t>Faktanya, hari ini masih banyak anak  usia sekolah yang putus sekolah bahkan tidak memperoleh pendidikan sama sekali dengan berbagai faktor seperti:</w:t>
      </w:r>
      <w:r w:rsidRPr="0023051F">
        <w:rPr>
          <w:shd w:val="clear" w:color="auto" w:fill="FFFFFF"/>
        </w:rPr>
        <w:t xml:space="preserve"> </w:t>
      </w:r>
      <w:r w:rsidRPr="0023051F">
        <w:rPr>
          <w:iCs/>
          <w:shd w:val="clear" w:color="auto" w:fill="FFFFFF"/>
        </w:rPr>
        <w:t xml:space="preserve">faktor ekonomi, perhatian orang tua, fasilitas pembelajaran, minat anak untuk sekolah, budaya dan faktor lingkungan </w:t>
      </w:r>
      <w:r w:rsidR="006128CC" w:rsidRPr="0023051F">
        <w:rPr>
          <w:iCs/>
          <w:shd w:val="clear" w:color="auto" w:fill="FFFFFF"/>
          <w:lang w:val="en-GB"/>
        </w:rPr>
        <w:fldChar w:fldCharType="begin" w:fldLock="1"/>
      </w:r>
      <w:r w:rsidRPr="0023051F">
        <w:rPr>
          <w:iCs/>
          <w:shd w:val="clear" w:color="auto" w:fill="FFFFFF"/>
        </w:rPr>
        <w:instrText>ADDIN CSL_CITATION {"citationItems":[{"id":"ITEM-1","itemData":{"author":[{"dropping-particle":"","family":"Ariyani","given":"Siti Nur Qoniah","non-dropping-particle":"","parse-names":false,"suffix":""}],"container-title":"Jurnal Kebijakan Pendidikan","id":"ITEM-1","issue":"4","issued":{"date-parts":[["2018"]]},"page":"440-451","title":"TREN ANGKA PUTUS SEKOLAH PENDIDIKAN SEKOLAH MENENGAH","type":"article-journal","volume":"7"},"uris":["http://www.mendeley.com/documents/?uuid=565fafd4-4031-409e-a1e3-df24eda8f8a1"]},{"id":"ITEM-2","itemData":{"abstract":"Penelitian ini bertujuan untuk mengetahui (1) faktor-faktor penyebab anak putus sekolah usia pendidikan dasar di Kecamatan Gerokgak Tahun 2012/2013, dan (2) faktor yang dominan penyebab anak putus sekolah usia pendidikan dasar di Kecamatan Gerokgak Tahun 2012/2013. Penelitian ini dilaksanakan pada Kecamatan Gerokgak dengan jumlah responden sebanyak 64 orang. Metode pengumpulan data yang digunakan adalah kuesioner dan dokumentasi dianalisis dengan analisis faktor melalui program SPSS versi 16.0, yang meliputi Uji Kaiser-Meyer-Olkin of Sampling adequacy (KMO and Barllet’s Test), Uji Measure of Sampling Adequacy (MSA), koefisien varimax rotation, dan rotasi faktor. Hasil penelitian menunjukkan bahwa ada enam faktor penyebab anak putus sekolah usia pendidikan dasar di Kecamatan Gerokgak Tahun 2012/2013. Faktor tersebut (1) faktor ekonomi, (2) faktor perhatian orang tua, (3) fasilitas pembelajaran, (4) minat anak untuk sekolah, (5) budaya dan (6) faktor lokasi sekolah. Faktor perhatian orang tua menjadi faktor yang paling dominan karena memiliki nilai variance explained tertinggi yaitu sebesar 39,952%, artinya bahwa perhatian orang tua mampu menjelaskan penyebab anak putus sekolah usia pendidikan dasar di Kecamatan Gerokgak. Faktor lokasi sekolah merupakan faktor yang memiliki variance explained terendah yaitu sebesar 17,014%.","author":[{"dropping-particle":"","family":"Dewi","given":"Ni Ayu Krisna","non-dropping-particle":"","parse-names":false,"suffix":""},{"dropping-particle":"","family":"Zukhri","given":"Anjuman","non-dropping-particle":"","parse-names":false,"suffix":""},{"dropping-particle":"","family":"Dunia","given":"I Ketut","non-dropping-particle":"","parse-names":false,"suffix":""}],"container-title":"Jurnal Juruan Pendidikan Ekonomi","id":"ITEM-2","issue":"1","issued":{"date-parts":[["2014"]]},"page":"1-12","title":"Analisis Faktor-Faktor Penyebab Anak Putus Sekolah 2012 / 2013","type":"article-journal","volume":"4"},"uris":["http://www.mendeley.com/documents/?uuid=d7c68bf9-880d-45df-886f-d2657cf54f68"]},{"id":"ITEM-3","itemData":{"DOI":"10.35791/agrsosek.13.3a.2017.18401","ISSN":"1907-4298","abstract":"This study aims to deter</w:instrText>
      </w:r>
      <w:r w:rsidRPr="0023051F">
        <w:rPr>
          <w:iCs/>
          <w:shd w:val="clear" w:color="auto" w:fill="FFFFFF"/>
          <w:lang w:val="en-GB"/>
        </w:rPr>
        <w:instrText>mine what factors are the cause of drop out of the children of farmers and non-farmers and whether there are differences in factors that cause drop out of the children of farmers and non-farmers. The analysis used in this research is by using descriptive analysis. This study was conducted from April to June 2017. This study used primary data and secondary data. Primary data was collected by direct interviews based on list of questions that have been prepared to the total respondents as many as 28 respondents. Method of sampling in this research use purposive sampling methods, they are children of farmer and not farmer with their parents. The results of this study indicate that the factors causing drop out of the children of farmers and non-farmers are: internal factors consisting of the will of the child itself and because children do not like school. External factors consisting of the economic condition of parents (unable to finance) and the social environment because affected with children who have dropped out of school first. At the parent level, both farmers and non-farmers, there is no difference in the reasons for dropping out. While at the level of children, both farmers and non-farmers children, there are different reasons for dropping out of school. Non-farmer children are because of internal factors: the willingness of children themselves while the child farmers are because of external factors are because the social environment.*eprm*","author":[{"dropping-particle":"","family":"Mua","given":"Vinny Briggita","non-dropping-particle":"","parse-names":false,"suffix":""},{"dropping-particle":"","family":"Manginsela","given":"Elsje Pauline","non-dropping-particle":"","parse-names":false,"suffix":""},{"dropping-particle":"","family":"Baroleh","given":"Jenny .","non-dropping-particle":"","parse-names":false,"suffix":""}],"container-title":"Agri-Sosioekonomi","id":"ITEM-3","issue":"3A","issued":{"date-parts":[["2017"]]},"page":"313-322","title":"Faktor-Faktor Penyebab Putus Sekolah Dari Anak Petani Dan Non-Petani Di Desa Sea Dan Desa Warembungan Kecamatan Pineleng Kabupaten Minahasa","type":"article-journal","volume":"13"},"uris":["http://www.mendeley.com/documents/?uuid=f44f206e-e627-4960-ab86-a8c8eb143f9d"]},{"id":"ITEM-4","itemData":{"DOI":"10.24014/marwah.v12i1.513","ISSN":"1412-6095","abstract":"It is undeniable that gender inequality still occurs especially in the developing world. This inequity occurs in various fields of human life, among others in the fields of education, social, and economic. Gender inequality that occursmainly in the field of education is influenced by various factors: cultural factors, patriarchy, sociology and psychology. The imbalance also affects the life of the nation and the state. To that end, this study discusses the factors that cause the occurrence of gender inequality and the impact that would occur if gender inequalities allowed to drag and solutions that are expected to be applied so that gender inequality can be reduced or even eliminated.","author":[{"dropping-particle":"","family":"Natasha","given":"Harum","non-dropping-particle":"","parse-names":false,"suffix":""}],"container-title":"Marwah: Jurnal Perempuan, Agama dan Jender","id":"ITEM-4","issue":"1","issued":{"date-parts":[["2013"]]},"page":"53-54","title":"Ketidaksetaraan Gender Bidang Pendidikan: Faktor Penyebab, Dampak, Dan Solusi","type":"article-journal","volume":"12"},"uris":["http://www.mendeley.com/documents/?uuid=147c3681-0c5a-42a5-bddf-ab434ad102f9"]},{"id":"ITEM-5","itemData":{"URL":"https://www.idntimes.com/news/indonesia/helmi/angka-putus-sekolah-di-indonesia-yang-mengkhawatirkan/full","accessed":{"date-parts":[["2019","10","20"]]},"author":[{"dropping-particle":"","family":"Shemi","given":"H","non-dropping-particle":"","parse-names":false,"suffix":""}],"container-title":"idntimes","id":"ITEM-5","issued":{"date-parts":[["2019"]]},"title":"Angka Putus Sekolah di Indonesia yang Mengkhawatirkan","type":"webpage"},"uris":["http://www.mendeley.com/documents/?uuid=c9d0fc74-d558-4565-b5f1-5401d8260f47"]},{"id":"ITEM-6","itemData":{"abstract":"Pendidikan merupakan hak yang sangat fundamental bagi anak. Hak wajibdipenuhi dengan kerjasama paling tidak dari orang tua siswa, lembaga pendidikan danpemerintah. Pendidikan akan mampu terealisasi jika semua komponen yaitu orangtua, lembaga masyarakat, pendidikan dan pemerintah bersedia menunjang jalannyapendidikan. Fenomena yang terjadi di Kampung Warabanyak anak putus sekolah, dan hal ini disebabkan banyak faktor yang mempengaruhinya baik faktor internal maupun faktor eksternal.. Faktor internal diantaranya pendapatan kepala keluarga dan tingkatpendidikan kepala keluarga. Faktor eksternal diantaranya budaya masyarakat. Faktor-faktor tersebut di dugamenjadi faktor penyebab besar terhadap paradigma orangtua tentang pentingnyapendidikan. Selain itu terdapat faktor lain yang juga berperan untukmeningkatkan perkembangan pendidikan anak yaitu tingkat kesadaran kepalakeluarga dalam hal pendidikan. Apabila semakin rendah tingkat kesadaran kepalakeluarga dalam hal pendidikan maka kesadaran anak untuk sekolah juga rendah dengan demikian tingkat anak putus sekolah semakin meningkat.","author":[{"dropping-particle":"","family":"Wassahua","given":"Sarfa","non-dropping-particle":"","parse-names":false,"suffix":""}],"container-title":"Al - Iltizam","id":"ITEM-6","issue":"2","issued":{"date-parts":[["2016"]]},"page":"93-113","title":"Analisis Faktor - Faktor Penyebab Anak Putus Sekolah Di Kampung Wara Negeri Hative Kecil Kota Ambon","type":"article-journal","volume":"1"},"uris":["http://www.mendeley.com/documents/?uuid=57c5b9c8-5847-4b2c-998b-3b33d888cd6f"]}],"mendeley":{"formattedCitation":"(Ariyani, 2018; Dewi, Zukhri, &amp; Dunia, 2014; Mua, Manginsela, &amp; Baroleh, 2017; Natasha, 2013; Shemi, 2019; Wassahua, 2016)","plainTextFormattedCitation":"(Ariyani, 2018; Dewi, Zukhri, &amp; Dunia, 2014; Mua, Manginsela, &amp; Baroleh, 2017; Natasha, 2013; Shemi, 2019; Wassahua, 2016)","previouslyFormattedCitation":"(Ariyani, 2018; Dewi, Zukhri, &amp; Dunia, 2014; Mua, Manginsela, &amp; Baroleh, 2017; Natasha, 2013; Shemi, 2019; Wassahua, 2016)"},"properties":{"noteIndex":0},"schema":"https://github.com/citation-style-language/schema/raw/master/csl-citation.json"}</w:instrText>
      </w:r>
      <w:r w:rsidR="006128CC" w:rsidRPr="0023051F">
        <w:rPr>
          <w:iCs/>
          <w:shd w:val="clear" w:color="auto" w:fill="FFFFFF"/>
          <w:lang w:val="en-GB"/>
        </w:rPr>
        <w:fldChar w:fldCharType="separate"/>
      </w:r>
      <w:r w:rsidRPr="0023051F">
        <w:rPr>
          <w:iCs/>
          <w:noProof/>
          <w:shd w:val="clear" w:color="auto" w:fill="FFFFFF"/>
          <w:lang w:val="en-GB"/>
        </w:rPr>
        <w:t>(Ariyani, 2018; Dewi, Zukhri, &amp; Dunia, 2014; Mua, Manginsela, &amp; Baroleh, 2017; Natasha, 2013; Shemi, 2019; Wassahua, 2016)</w:t>
      </w:r>
      <w:r w:rsidR="006128CC" w:rsidRPr="0023051F">
        <w:rPr>
          <w:iCs/>
          <w:shd w:val="clear" w:color="auto" w:fill="FFFFFF"/>
          <w:lang w:val="en-GB"/>
        </w:rPr>
        <w:fldChar w:fldCharType="end"/>
      </w:r>
      <w:r w:rsidRPr="0023051F">
        <w:rPr>
          <w:iCs/>
          <w:shd w:val="clear" w:color="auto" w:fill="FFFFFF"/>
          <w:lang w:val="en-GB"/>
        </w:rPr>
        <w:t xml:space="preserve">. </w:t>
      </w:r>
      <w:r w:rsidRPr="0023051F">
        <w:rPr>
          <w:iCs/>
          <w:shd w:val="clear" w:color="auto" w:fill="FFFFFF"/>
        </w:rPr>
        <w:t>Hasil Susenas 2018 menunjukan sebesar 6,70% penduduk usia 5 tahun keatas tidak/belum pernah sekolah</w:t>
      </w:r>
      <w:r w:rsidRPr="0023051F">
        <w:rPr>
          <w:iCs/>
          <w:shd w:val="clear" w:color="auto" w:fill="FFFFFF"/>
          <w:lang w:val="en-GB"/>
        </w:rPr>
        <w:t xml:space="preserve"> </w:t>
      </w:r>
      <w:r w:rsidR="006128CC" w:rsidRPr="0023051F">
        <w:rPr>
          <w:iCs/>
          <w:shd w:val="clear" w:color="auto" w:fill="FFFFFF"/>
          <w:lang w:val="en-GB"/>
        </w:rPr>
        <w:fldChar w:fldCharType="begin" w:fldLock="1"/>
      </w:r>
      <w:r w:rsidRPr="0023051F">
        <w:rPr>
          <w:iCs/>
          <w:shd w:val="clear" w:color="auto" w:fill="FFFFFF"/>
          <w:lang w:val="en-GB"/>
        </w:rPr>
        <w:instrText>ADDIN CSL_CITATION {"citationItems":[{"id":"ITEM-1","itemData":{"ISBN":"2502-7492","author":[{"dropping-particle":"","family":"BPS","given":"","non-dropping-particle":"","parse-names":false,"suffix":""}],"editor":[{"dropping-particle":"","family":"Tangga","given":"Subdirektorat Statistik Rumah","non-dropping-particle":"","parse-names":false,"suffix":""}],"id":"ITEM-1","issued":{"date-parts":[["2018"]]},"publisher":"Badan Pusat Statistik","publisher-place":"Jakarta","title":"Statistik Kesejahteraan Rakyat Welfare Statistics","type":"book"},"uris":["http://www.mendeley.com/documents/?uuid=38dea3e5-ae8b-4d25-a13a-50989bab1885"]}],"mendeley":{"formattedCitation":"(BPS, 2018)","plainTextFormattedCitation":"(BPS, 2018)","previouslyFormattedCitation":"(BPS, 2018)"},"properties":{"noteIndex":0},"schema":"https://github.com/citation-style-language/schema/raw/master/csl-citation.json"}</w:instrText>
      </w:r>
      <w:r w:rsidR="006128CC" w:rsidRPr="0023051F">
        <w:rPr>
          <w:iCs/>
          <w:shd w:val="clear" w:color="auto" w:fill="FFFFFF"/>
          <w:lang w:val="en-GB"/>
        </w:rPr>
        <w:fldChar w:fldCharType="separate"/>
      </w:r>
      <w:r w:rsidRPr="0023051F">
        <w:rPr>
          <w:iCs/>
          <w:noProof/>
          <w:shd w:val="clear" w:color="auto" w:fill="FFFFFF"/>
          <w:lang w:val="en-GB"/>
        </w:rPr>
        <w:t>(BPS, 2018)</w:t>
      </w:r>
      <w:r w:rsidR="006128CC" w:rsidRPr="0023051F">
        <w:rPr>
          <w:iCs/>
          <w:shd w:val="clear" w:color="auto" w:fill="FFFFFF"/>
          <w:lang w:val="en-GB"/>
        </w:rPr>
        <w:fldChar w:fldCharType="end"/>
      </w:r>
      <w:r w:rsidRPr="0023051F">
        <w:rPr>
          <w:iCs/>
          <w:shd w:val="clear" w:color="auto" w:fill="FFFFFF"/>
          <w:lang w:val="en-GB"/>
        </w:rPr>
        <w:t xml:space="preserve">. </w:t>
      </w:r>
      <w:r w:rsidRPr="0023051F">
        <w:rPr>
          <w:iCs/>
          <w:shd w:val="clear" w:color="auto" w:fill="FFFFFF"/>
        </w:rPr>
        <w:t>Selain itu, b</w:t>
      </w:r>
      <w:r w:rsidRPr="0023051F">
        <w:rPr>
          <w:shd w:val="clear" w:color="auto" w:fill="FFFFFF"/>
        </w:rPr>
        <w:t>erdasarkan data BPS angka buta aksara juga masih cukup tinggi terutama 6 provinnsi di daerah Indonesia bagian timur mencapai diatas 4 % meliputi: Provinsi Papua, Nusa Tenggara Barat, Nusa Tenggara Timur, Sulawesi Barat, Sulawesi Selatan, dan Kalimantan Barat</w:t>
      </w:r>
      <w:r w:rsidRPr="0023051F">
        <w:rPr>
          <w:shd w:val="clear" w:color="auto" w:fill="FFFFFF"/>
          <w:lang w:val="en-GB"/>
        </w:rPr>
        <w:t xml:space="preserve"> </w:t>
      </w:r>
      <w:r w:rsidR="006128CC" w:rsidRPr="0023051F">
        <w:rPr>
          <w:shd w:val="clear" w:color="auto" w:fill="FFFFFF"/>
          <w:lang w:val="en-GB"/>
        </w:rPr>
        <w:fldChar w:fldCharType="begin" w:fldLock="1"/>
      </w:r>
      <w:r w:rsidRPr="0023051F">
        <w:rPr>
          <w:shd w:val="clear" w:color="auto" w:fill="FFFFFF"/>
          <w:lang w:val="en-GB"/>
        </w:rPr>
        <w:instrText>ADDIN CSL_CITATION {"citationItems":[{"id":"ITEM-1","itemData":{"ISBN":"2502-7492","author":[{"dropping-particle":"","family":"BPS","given":"","non-dropping-particle":"","parse-names":false,"suffix":""}],"editor":[{"dropping-particle":"","family":"Tangga","given":"Subdirektorat Statistik Rumah","non-dropping-particle":"","parse-names":false,"suffix":""}],"id":"ITEM-1","issued":{"date-parts":[["2018"]]},"publisher":"Badan Pusat Statistik","publisher-place":"Jakarta","title":"Statistik Kesejahteraan Rakyat Welfare Statistics","type":"book"},"uris":["http://www.mendeley.com/documents/?uuid=38dea3e5-ae8b-4d25-a13a-50989bab1885"]},{"id":"ITEM-2","itemData":{"URL":"https://www.republika.co.id/berita/pendidikan/eduaction/pxftye409/mendikbud-angka-buta-aksara-di-enam-provinsi-masih-tinggi","accessed":{"date-parts":[["2019","10","20"]]},"author":[{"dropping-particle":"","family":"Nugraheny","given":"D. E","non-dropping-particle":"","parse-names":false,"suffix":""}],"container-title":"Republika Online","id":"ITEM-2","issued":{"date-parts":[["2019"]]},"title":"Mendikbud: Angka Buta Aksara di Enam Provinsi Masih Tinggi","type":"webpage"},"uris":["http://www.mendeley.com/documents/?uuid=1cc0e938-4656-43a7-83fe-ff38fb081edf"]}],"mendeley":{"formattedCitation":"(BPS, 2018; Nugraheny, 2019)","plainTextFormattedCitation":"(BPS, 2018; Nugraheny, 2019)","previouslyFormattedCitation":"(BPS, 2018; Nugraheny, 2019)"},"properties":{"noteIndex":0},"schema":"https://github.com/citation-style-language/schema/raw/master/csl-citation.json"}</w:instrText>
      </w:r>
      <w:r w:rsidR="006128CC" w:rsidRPr="0023051F">
        <w:rPr>
          <w:shd w:val="clear" w:color="auto" w:fill="FFFFFF"/>
          <w:lang w:val="en-GB"/>
        </w:rPr>
        <w:fldChar w:fldCharType="separate"/>
      </w:r>
      <w:r w:rsidRPr="0023051F">
        <w:rPr>
          <w:noProof/>
          <w:shd w:val="clear" w:color="auto" w:fill="FFFFFF"/>
          <w:lang w:val="en-GB"/>
        </w:rPr>
        <w:t>(BPS, 2018; Nugraheny, 2019)</w:t>
      </w:r>
      <w:r w:rsidR="006128CC" w:rsidRPr="0023051F">
        <w:rPr>
          <w:shd w:val="clear" w:color="auto" w:fill="FFFFFF"/>
          <w:lang w:val="en-GB"/>
        </w:rPr>
        <w:fldChar w:fldCharType="end"/>
      </w:r>
      <w:r w:rsidRPr="0023051F">
        <w:rPr>
          <w:shd w:val="clear" w:color="auto" w:fill="FFFFFF"/>
          <w:lang w:val="en-GB"/>
        </w:rPr>
        <w:t xml:space="preserve">. </w:t>
      </w:r>
      <w:r w:rsidRPr="0023051F">
        <w:rPr>
          <w:shd w:val="clear" w:color="auto" w:fill="FFFFFF"/>
        </w:rPr>
        <w:t xml:space="preserve">Secara kualitas SDM, berdasarkan Human Develpoment Index (HDI) yang di rilis oleh UNDP, Indonesia berada diurutan ke-116 dunia, berada di bawah 5 negara angggota ASEAN lainnya dengan peringkat yang terpaut cukup jauh yaitu: Singapura </w:t>
      </w:r>
      <w:r w:rsidRPr="0023051F">
        <w:rPr>
          <w:shd w:val="clear" w:color="auto" w:fill="FFFFFF"/>
        </w:rPr>
        <w:lastRenderedPageBreak/>
        <w:t>peringkat ke-9, Brunei Darussalam ke-39, Malaysia ke-57, Thailand ke-83 dan Filipina peringkat ke-113</w:t>
      </w:r>
      <w:r w:rsidRPr="0023051F">
        <w:rPr>
          <w:shd w:val="clear" w:color="auto" w:fill="FFFFFF"/>
          <w:lang w:val="en-GB"/>
        </w:rPr>
        <w:t xml:space="preserve"> </w:t>
      </w:r>
      <w:r w:rsidR="006128CC" w:rsidRPr="0023051F">
        <w:rPr>
          <w:shd w:val="clear" w:color="auto" w:fill="FFFFFF"/>
          <w:lang w:val="en-GB"/>
        </w:rPr>
        <w:fldChar w:fldCharType="begin" w:fldLock="1"/>
      </w:r>
      <w:r w:rsidRPr="0023051F">
        <w:rPr>
          <w:shd w:val="clear" w:color="auto" w:fill="FFFFFF"/>
          <w:lang w:val="en-GB"/>
        </w:rPr>
        <w:instrText>ADDIN CSL_CITATION {"citationItems":[{"id":"ITEM-1","itemData":{"URL":"http://hdr.undp.org/en/data","accessed":{"date-parts":[["2019","10","20"]]},"author":[{"dropping-particle":"","family":"UNDP","given":"","non-dropping-particle":"","parse-names":false,"suffix":""}],"container-title":"Human Development Reports","id":"ITEM-1","issued":{"date-parts":[["2017"]]},"title":"Human Development Data (1990-2017)","type":"webpage"},"uris":["http://www.mendeley.com/documents/?uuid=572c64aa-88c4-4253-b71d-9c5fddef7ec2"]}],"mendeley":{"formattedCitation":"(UNDP, 2017)","plainTextFormattedCitation":"(UNDP, 2017)","previouslyFormattedCitation":"(UNDP, 2017)"},"properties":{"noteIndex":0},"schema":"https://github.com/citation-style-language/schema/raw/master/csl-citation.json"}</w:instrText>
      </w:r>
      <w:r w:rsidR="006128CC" w:rsidRPr="0023051F">
        <w:rPr>
          <w:shd w:val="clear" w:color="auto" w:fill="FFFFFF"/>
          <w:lang w:val="en-GB"/>
        </w:rPr>
        <w:fldChar w:fldCharType="separate"/>
      </w:r>
      <w:r w:rsidRPr="0023051F">
        <w:rPr>
          <w:noProof/>
          <w:shd w:val="clear" w:color="auto" w:fill="FFFFFF"/>
          <w:lang w:val="en-GB"/>
        </w:rPr>
        <w:t>(UNDP, 2017)</w:t>
      </w:r>
      <w:r w:rsidR="006128CC" w:rsidRPr="0023051F">
        <w:rPr>
          <w:shd w:val="clear" w:color="auto" w:fill="FFFFFF"/>
          <w:lang w:val="en-GB"/>
        </w:rPr>
        <w:fldChar w:fldCharType="end"/>
      </w:r>
      <w:r w:rsidRPr="0023051F">
        <w:rPr>
          <w:shd w:val="clear" w:color="auto" w:fill="FFFFFF"/>
          <w:lang w:val="en-GB"/>
        </w:rPr>
        <w:t>.</w:t>
      </w:r>
    </w:p>
    <w:p w:rsidR="0023051F" w:rsidRPr="0023051F" w:rsidRDefault="0023051F" w:rsidP="0023051F">
      <w:pPr>
        <w:pStyle w:val="IEEEParagraph"/>
        <w:ind w:firstLine="0"/>
        <w:rPr>
          <w:iCs/>
          <w:shd w:val="clear" w:color="auto" w:fill="FFFFFF"/>
        </w:rPr>
      </w:pPr>
      <w:r w:rsidRPr="0023051F">
        <w:rPr>
          <w:iCs/>
          <w:shd w:val="clear" w:color="auto" w:fill="FFFFFF"/>
        </w:rPr>
        <w:tab/>
        <w:t xml:space="preserve">Berdasarkan uraian diatas maka perlu dilakukan analisis untuk memperoleh gambaran pendidikan di Indonesia berdasarkan partisipasi pendidikan. Penelitian ini bertujuan untuk menganalisis indikator pendidikan yaitu Angka Partisipasi Sekolah (APS), Angka Partisipasi Kasar (APK) dan Angka Partisipasi Murni (APM). APS adalah angka yang menunjukan proporsi anak sekolah pada usia jenjang pendidikan dalam usia yang sesuai dengan jenjang pendidikan tersebut, kegunaannya adalah untuk mengetahui tingkat partisipasi pendidikan atau jumlah masyarakat yang memperoleh pendidikan pada usia sekolah tertentu. APK adalah proporsi anak sekolah pada satu kelompok usia tertentu yang bersekolah pada jenjang yang sesuai dengan kelompok usianya, kegunaannya adalah untuk mengetahui jumlah siswa yang bersekolah pada jenjang tertentu. Adapun APM adalah proporsi anak sekolah pada suatu jenjang tertentu dalam kelompok usia yang sesuai dengan jenjang pendidikan tersebut, kegunannya adalah untuk mengetahui jumlah anak yang sekolah pada jenjang yang sesuai dengan usianya </w:t>
      </w:r>
      <w:r w:rsidR="006128CC" w:rsidRPr="0023051F">
        <w:rPr>
          <w:iCs/>
          <w:shd w:val="clear" w:color="auto" w:fill="FFFFFF"/>
          <w:lang w:val="en-GB"/>
        </w:rPr>
        <w:fldChar w:fldCharType="begin" w:fldLock="1"/>
      </w:r>
      <w:r w:rsidRPr="0023051F">
        <w:rPr>
          <w:iCs/>
          <w:shd w:val="clear" w:color="auto" w:fill="FFFFFF"/>
        </w:rPr>
        <w:instrText>ADDIN CSL_CITATION {"citationItems":[{"id":"ITEM-1","itemData":{"URL":"https://www.bps.go.id/subject/28/pendidikan.html#subjekViewTab1","accessed":{"date-parts":[["2019","10","20"]]},"author":[{"dropping-particle":"","family":"BPS","given":"","non-dropping-particle":"","parse-names":false,"suffix":""}],"container-title":"Badan Pusat Statistik","id":"ITEM-1","issued":{"date-parts":[["2019"]]},"title":"Konsep APS, APK dan APM","type":"webpage"},"uris":["http://www.mendeley.com/documents/?uuid=26759f21-721a-4f07-a849-5c4c7552f03b"]},{"id":"ITEM-2","itemData":{"author":[{"dropping-particle":"","family":"Kemendikbud","given":"","non-dropping-particle":"","parse-names":false,"suffix":""}],"container-title":"Kementerian Pendidikan dan Kebudayaan","id":"ITEM-2","issued":{"date-parts":[["2017"]]},"title":"APK-APM","type":"webpage"},"uris":["http://www.mendeley.com/documents/?uuid=d78f4441-dca4-435d-9d08-3fb9fe2f983f"]}],"mendeley":{"formattedCitation":"(BPS, 2019; Kemendikbud, 2017)","plainTextFormattedCitation":"(BPS, 2019; Kemendikbud, 2017)","previouslyFormattedCitation":"(BPS, 2019; Kemendikbud, 2017)"},"properties":{"noteIndex":0},"schema":"https://github.com/citation-style-language/schema/raw/master/csl-citation.json"}</w:instrText>
      </w:r>
      <w:r w:rsidR="006128CC" w:rsidRPr="0023051F">
        <w:rPr>
          <w:iCs/>
          <w:shd w:val="clear" w:color="auto" w:fill="FFFFFF"/>
          <w:lang w:val="en-GB"/>
        </w:rPr>
        <w:fldChar w:fldCharType="separate"/>
      </w:r>
      <w:r w:rsidRPr="0023051F">
        <w:rPr>
          <w:iCs/>
          <w:noProof/>
          <w:shd w:val="clear" w:color="auto" w:fill="FFFFFF"/>
        </w:rPr>
        <w:t>(BPS, 2019; Kemendikbud, 2017)</w:t>
      </w:r>
      <w:r w:rsidR="006128CC" w:rsidRPr="0023051F">
        <w:rPr>
          <w:iCs/>
          <w:shd w:val="clear" w:color="auto" w:fill="FFFFFF"/>
          <w:lang w:val="en-GB"/>
        </w:rPr>
        <w:fldChar w:fldCharType="end"/>
      </w:r>
      <w:r w:rsidRPr="0023051F">
        <w:rPr>
          <w:iCs/>
          <w:shd w:val="clear" w:color="auto" w:fill="FFFFFF"/>
        </w:rPr>
        <w:t>.</w:t>
      </w:r>
    </w:p>
    <w:p w:rsidR="0023051F" w:rsidRPr="0023051F" w:rsidRDefault="0023051F" w:rsidP="0023051F">
      <w:pPr>
        <w:pStyle w:val="IEEEParagraph"/>
        <w:ind w:firstLine="0"/>
        <w:rPr>
          <w:iCs/>
          <w:shd w:val="clear" w:color="auto" w:fill="FFFFFF"/>
        </w:rPr>
      </w:pPr>
    </w:p>
    <w:p w:rsidR="0023051F" w:rsidRPr="0023051F" w:rsidRDefault="0023051F" w:rsidP="0023051F">
      <w:pPr>
        <w:pStyle w:val="IEEEParagraph"/>
        <w:ind w:firstLine="0"/>
        <w:rPr>
          <w:iCs/>
          <w:shd w:val="clear" w:color="auto" w:fill="FFFFFF"/>
        </w:rPr>
      </w:pPr>
    </w:p>
    <w:p w:rsidR="0023051F" w:rsidRPr="0023051F" w:rsidRDefault="00100EF8" w:rsidP="0023051F">
      <w:pPr>
        <w:pStyle w:val="IEEEParagraph"/>
        <w:rPr>
          <w:iCs/>
          <w:shd w:val="clear" w:color="auto" w:fill="FFFFFF"/>
        </w:rPr>
      </w:pPr>
      <m:oMathPara>
        <m:oMath>
          <m:r>
            <m:rPr>
              <m:sty m:val="p"/>
            </m:rPr>
            <w:rPr>
              <w:rFonts w:ascii="Cambria Math"/>
              <w:sz w:val="20"/>
              <w:szCs w:val="20"/>
              <w:shd w:val="clear" w:color="auto" w:fill="FFFFFF"/>
            </w:rPr>
            <m:t>APS 7</m:t>
          </m:r>
          <m:r>
            <m:rPr>
              <m:sty m:val="p"/>
            </m:rPr>
            <w:rPr>
              <w:sz w:val="20"/>
              <w:szCs w:val="20"/>
              <w:shd w:val="clear" w:color="auto" w:fill="FFFFFF"/>
            </w:rPr>
            <m:t>-</m:t>
          </m:r>
          <m:r>
            <m:rPr>
              <m:sty m:val="p"/>
            </m:rPr>
            <w:rPr>
              <w:rFonts w:ascii="Cambria Math"/>
              <w:sz w:val="20"/>
              <w:szCs w:val="20"/>
              <w:shd w:val="clear" w:color="auto" w:fill="FFFFFF"/>
            </w:rPr>
            <m:t>12th</m:t>
          </m:r>
          <m:r>
            <w:rPr>
              <w:rFonts w:ascii="Cambria Math"/>
              <w:sz w:val="20"/>
              <w:szCs w:val="20"/>
              <w:shd w:val="clear" w:color="auto" w:fill="FFFFFF"/>
            </w:rPr>
            <m:t>=</m:t>
          </m:r>
          <m:f>
            <m:fPr>
              <m:ctrlPr>
                <w:rPr>
                  <w:rFonts w:ascii="Cambria Math" w:hAnsi="Cambria Math"/>
                  <w:iCs/>
                  <w:sz w:val="20"/>
                  <w:szCs w:val="20"/>
                  <w:shd w:val="clear" w:color="auto" w:fill="FFFFFF"/>
                </w:rPr>
              </m:ctrlPr>
            </m:fPr>
            <m:num>
              <m:r>
                <w:rPr>
                  <w:rFonts w:ascii="Cambria Math" w:hAnsi="Cambria Math"/>
                  <w:sz w:val="20"/>
                  <w:szCs w:val="20"/>
                  <w:shd w:val="clear" w:color="auto" w:fill="FFFFFF"/>
                </w:rPr>
                <m:t>Jumla</m:t>
              </m:r>
              <m:r>
                <w:rPr>
                  <w:sz w:val="20"/>
                  <w:szCs w:val="20"/>
                  <w:shd w:val="clear" w:color="auto" w:fill="FFFFFF"/>
                </w:rPr>
                <m:t>h</m:t>
              </m:r>
              <m:r>
                <w:rPr>
                  <w:rFonts w:ascii="Cambria Math"/>
                  <w:sz w:val="20"/>
                  <w:szCs w:val="20"/>
                  <w:shd w:val="clear" w:color="auto" w:fill="FFFFFF"/>
                </w:rPr>
                <m:t xml:space="preserve"> </m:t>
              </m:r>
              <m:r>
                <w:rPr>
                  <w:rFonts w:ascii="Cambria Math" w:hAnsi="Cambria Math"/>
                  <w:sz w:val="20"/>
                  <w:szCs w:val="20"/>
                  <w:shd w:val="clear" w:color="auto" w:fill="FFFFFF"/>
                </w:rPr>
                <m:t>Penduduk</m:t>
              </m:r>
              <m:r>
                <w:rPr>
                  <w:rFonts w:ascii="Cambria Math"/>
                  <w:sz w:val="20"/>
                  <w:szCs w:val="20"/>
                  <w:shd w:val="clear" w:color="auto" w:fill="FFFFFF"/>
                </w:rPr>
                <m:t xml:space="preserve"> </m:t>
              </m:r>
              <m:r>
                <w:rPr>
                  <w:rFonts w:ascii="Cambria Math" w:hAnsi="Cambria Math"/>
                  <w:sz w:val="20"/>
                  <w:szCs w:val="20"/>
                  <w:shd w:val="clear" w:color="auto" w:fill="FFFFFF"/>
                </w:rPr>
                <m:t>yang</m:t>
              </m:r>
              <m:r>
                <w:rPr>
                  <w:rFonts w:ascii="Cambria Math"/>
                  <w:sz w:val="20"/>
                  <w:szCs w:val="20"/>
                  <w:shd w:val="clear" w:color="auto" w:fill="FFFFFF"/>
                </w:rPr>
                <m:t xml:space="preserve"> </m:t>
              </m:r>
              <m:r>
                <w:rPr>
                  <w:rFonts w:ascii="Cambria Math" w:hAnsi="Cambria Math"/>
                  <w:sz w:val="20"/>
                  <w:szCs w:val="20"/>
                  <w:shd w:val="clear" w:color="auto" w:fill="FFFFFF"/>
                </w:rPr>
                <m:t>Masi</m:t>
              </m:r>
              <m:r>
                <w:rPr>
                  <w:sz w:val="20"/>
                  <w:szCs w:val="20"/>
                  <w:shd w:val="clear" w:color="auto" w:fill="FFFFFF"/>
                </w:rPr>
                <m:t>h</m:t>
              </m:r>
              <m:r>
                <w:rPr>
                  <w:rFonts w:ascii="Cambria Math"/>
                  <w:sz w:val="20"/>
                  <w:szCs w:val="20"/>
                  <w:shd w:val="clear" w:color="auto" w:fill="FFFFFF"/>
                </w:rPr>
                <m:t xml:space="preserve"> </m:t>
              </m:r>
              <m:r>
                <w:rPr>
                  <w:rFonts w:ascii="Cambria Math" w:hAnsi="Cambria Math"/>
                  <w:sz w:val="20"/>
                  <w:szCs w:val="20"/>
                  <w:shd w:val="clear" w:color="auto" w:fill="FFFFFF"/>
                </w:rPr>
                <m:t>Sekola</m:t>
              </m:r>
              <m:r>
                <w:rPr>
                  <w:sz w:val="20"/>
                  <w:szCs w:val="20"/>
                  <w:shd w:val="clear" w:color="auto" w:fill="FFFFFF"/>
                </w:rPr>
                <m:t>h</m:t>
              </m:r>
              <m:r>
                <w:rPr>
                  <w:rFonts w:ascii="Cambria Math"/>
                  <w:sz w:val="20"/>
                  <w:szCs w:val="20"/>
                  <w:shd w:val="clear" w:color="auto" w:fill="FFFFFF"/>
                </w:rPr>
                <m:t xml:space="preserve"> 7</m:t>
              </m:r>
              <m:r>
                <w:rPr>
                  <w:sz w:val="20"/>
                  <w:szCs w:val="20"/>
                  <w:shd w:val="clear" w:color="auto" w:fill="FFFFFF"/>
                </w:rPr>
                <m:t>-</m:t>
              </m:r>
              <m:r>
                <w:rPr>
                  <w:rFonts w:ascii="Cambria Math"/>
                  <w:sz w:val="20"/>
                  <w:szCs w:val="20"/>
                  <w:shd w:val="clear" w:color="auto" w:fill="FFFFFF"/>
                </w:rPr>
                <m:t>12</m:t>
              </m:r>
              <m:r>
                <w:rPr>
                  <w:rFonts w:ascii="Cambria Math" w:hAnsi="Cambria Math"/>
                  <w:sz w:val="20"/>
                  <w:szCs w:val="20"/>
                  <w:shd w:val="clear" w:color="auto" w:fill="FFFFFF"/>
                </w:rPr>
                <m:t>t</m:t>
              </m:r>
              <m:r>
                <w:rPr>
                  <w:sz w:val="20"/>
                  <w:szCs w:val="20"/>
                  <w:shd w:val="clear" w:color="auto" w:fill="FFFFFF"/>
                </w:rPr>
                <m:t>h</m:t>
              </m:r>
            </m:num>
            <m:den>
              <m:r>
                <w:rPr>
                  <w:rFonts w:ascii="Cambria Math" w:hAnsi="Cambria Math"/>
                  <w:sz w:val="20"/>
                  <w:szCs w:val="20"/>
                  <w:shd w:val="clear" w:color="auto" w:fill="FFFFFF"/>
                </w:rPr>
                <m:t>Jumla</m:t>
              </m:r>
              <m:r>
                <w:rPr>
                  <w:sz w:val="20"/>
                  <w:szCs w:val="20"/>
                  <w:shd w:val="clear" w:color="auto" w:fill="FFFFFF"/>
                </w:rPr>
                <m:t>h</m:t>
              </m:r>
              <m:r>
                <w:rPr>
                  <w:rFonts w:ascii="Cambria Math"/>
                  <w:sz w:val="20"/>
                  <w:szCs w:val="20"/>
                  <w:shd w:val="clear" w:color="auto" w:fill="FFFFFF"/>
                </w:rPr>
                <m:t xml:space="preserve"> </m:t>
              </m:r>
              <m:r>
                <w:rPr>
                  <w:rFonts w:ascii="Cambria Math" w:hAnsi="Cambria Math"/>
                  <w:sz w:val="20"/>
                  <w:szCs w:val="20"/>
                  <w:shd w:val="clear" w:color="auto" w:fill="FFFFFF"/>
                </w:rPr>
                <m:t>Penduduk</m:t>
              </m:r>
              <m:r>
                <w:rPr>
                  <w:rFonts w:ascii="Cambria Math"/>
                  <w:sz w:val="20"/>
                  <w:szCs w:val="20"/>
                  <w:shd w:val="clear" w:color="auto" w:fill="FFFFFF"/>
                </w:rPr>
                <m:t xml:space="preserve"> </m:t>
              </m:r>
              <m:r>
                <w:rPr>
                  <w:rFonts w:ascii="Cambria Math" w:hAnsi="Cambria Math"/>
                  <w:sz w:val="20"/>
                  <w:szCs w:val="20"/>
                  <w:shd w:val="clear" w:color="auto" w:fill="FFFFFF"/>
                </w:rPr>
                <m:t>Usia</m:t>
              </m:r>
              <m:r>
                <w:rPr>
                  <w:rFonts w:ascii="Cambria Math"/>
                  <w:sz w:val="20"/>
                  <w:szCs w:val="20"/>
                  <w:shd w:val="clear" w:color="auto" w:fill="FFFFFF"/>
                </w:rPr>
                <m:t xml:space="preserve"> 7</m:t>
              </m:r>
              <m:r>
                <w:rPr>
                  <w:sz w:val="20"/>
                  <w:szCs w:val="20"/>
                  <w:shd w:val="clear" w:color="auto" w:fill="FFFFFF"/>
                </w:rPr>
                <m:t>-</m:t>
              </m:r>
              <m:r>
                <w:rPr>
                  <w:rFonts w:ascii="Cambria Math"/>
                  <w:sz w:val="20"/>
                  <w:szCs w:val="20"/>
                  <w:shd w:val="clear" w:color="auto" w:fill="FFFFFF"/>
                </w:rPr>
                <m:t>12</m:t>
              </m:r>
              <m:r>
                <w:rPr>
                  <w:rFonts w:ascii="Cambria Math" w:hAnsi="Cambria Math"/>
                  <w:sz w:val="20"/>
                  <w:szCs w:val="20"/>
                  <w:shd w:val="clear" w:color="auto" w:fill="FFFFFF"/>
                </w:rPr>
                <m:t>t</m:t>
              </m:r>
              <m:r>
                <w:rPr>
                  <w:sz w:val="20"/>
                  <w:szCs w:val="20"/>
                  <w:shd w:val="clear" w:color="auto" w:fill="FFFFFF"/>
                </w:rPr>
                <m:t>h</m:t>
              </m:r>
            </m:den>
          </m:f>
          <m:r>
            <w:rPr>
              <w:rFonts w:ascii="Cambria Math" w:hAnsi="Cambria Math"/>
              <w:sz w:val="20"/>
              <w:szCs w:val="20"/>
              <w:shd w:val="clear" w:color="auto" w:fill="FFFFFF"/>
            </w:rPr>
            <m:t>x</m:t>
          </m:r>
          <m:r>
            <w:rPr>
              <w:rFonts w:ascii="Cambria Math"/>
              <w:sz w:val="20"/>
              <w:szCs w:val="20"/>
              <w:shd w:val="clear" w:color="auto" w:fill="FFFFFF"/>
            </w:rPr>
            <m:t>100</m:t>
          </m:r>
        </m:oMath>
      </m:oMathPara>
    </w:p>
    <w:p w:rsidR="0023051F" w:rsidRPr="0023051F" w:rsidRDefault="0023051F" w:rsidP="0023051F">
      <w:pPr>
        <w:pStyle w:val="IEEEParagraph"/>
        <w:rPr>
          <w:iCs/>
          <w:shd w:val="clear" w:color="auto" w:fill="FFFFFF"/>
        </w:rPr>
      </w:pPr>
    </w:p>
    <w:p w:rsidR="0023051F" w:rsidRPr="0023051F" w:rsidRDefault="00100EF8" w:rsidP="0023051F">
      <w:pPr>
        <w:pStyle w:val="IEEEParagraph"/>
        <w:rPr>
          <w:iCs/>
          <w:shd w:val="clear" w:color="auto" w:fill="FFFFFF"/>
        </w:rPr>
      </w:pPr>
      <m:oMathPara>
        <m:oMath>
          <m:r>
            <m:rPr>
              <m:sty m:val="p"/>
            </m:rPr>
            <w:rPr>
              <w:rFonts w:ascii="Cambria Math"/>
              <w:sz w:val="20"/>
              <w:szCs w:val="20"/>
              <w:shd w:val="clear" w:color="auto" w:fill="FFFFFF"/>
            </w:rPr>
            <m:t>APK 7</m:t>
          </m:r>
          <m:r>
            <m:rPr>
              <m:sty m:val="p"/>
            </m:rPr>
            <w:rPr>
              <w:sz w:val="20"/>
              <w:szCs w:val="20"/>
              <w:shd w:val="clear" w:color="auto" w:fill="FFFFFF"/>
            </w:rPr>
            <m:t>-</m:t>
          </m:r>
          <m:r>
            <m:rPr>
              <m:sty m:val="p"/>
            </m:rPr>
            <w:rPr>
              <w:rFonts w:ascii="Cambria Math"/>
              <w:sz w:val="20"/>
              <w:szCs w:val="20"/>
              <w:shd w:val="clear" w:color="auto" w:fill="FFFFFF"/>
            </w:rPr>
            <m:t>12th</m:t>
          </m:r>
          <m:r>
            <w:rPr>
              <w:rFonts w:ascii="Cambria Math"/>
              <w:sz w:val="20"/>
              <w:szCs w:val="20"/>
              <w:shd w:val="clear" w:color="auto" w:fill="FFFFFF"/>
            </w:rPr>
            <m:t>=</m:t>
          </m:r>
          <m:f>
            <m:fPr>
              <m:ctrlPr>
                <w:rPr>
                  <w:rFonts w:ascii="Cambria Math" w:hAnsi="Cambria Math"/>
                  <w:iCs/>
                  <w:sz w:val="20"/>
                  <w:szCs w:val="20"/>
                  <w:shd w:val="clear" w:color="auto" w:fill="FFFFFF"/>
                </w:rPr>
              </m:ctrlPr>
            </m:fPr>
            <m:num>
              <m:r>
                <w:rPr>
                  <w:rFonts w:ascii="Cambria Math" w:hAnsi="Cambria Math"/>
                  <w:sz w:val="20"/>
                  <w:szCs w:val="20"/>
                  <w:shd w:val="clear" w:color="auto" w:fill="FFFFFF"/>
                </w:rPr>
                <m:t>Jumla</m:t>
              </m:r>
              <m:r>
                <w:rPr>
                  <w:sz w:val="20"/>
                  <w:szCs w:val="20"/>
                  <w:shd w:val="clear" w:color="auto" w:fill="FFFFFF"/>
                </w:rPr>
                <m:t>h</m:t>
              </m:r>
              <m:r>
                <w:rPr>
                  <w:rFonts w:ascii="Cambria Math"/>
                  <w:sz w:val="20"/>
                  <w:szCs w:val="20"/>
                  <w:shd w:val="clear" w:color="auto" w:fill="FFFFFF"/>
                </w:rPr>
                <m:t xml:space="preserve"> </m:t>
              </m:r>
              <m:r>
                <w:rPr>
                  <w:rFonts w:ascii="Cambria Math" w:hAnsi="Cambria Math"/>
                  <w:sz w:val="20"/>
                  <w:szCs w:val="20"/>
                  <w:shd w:val="clear" w:color="auto" w:fill="FFFFFF"/>
                </w:rPr>
                <m:t>Penduduk</m:t>
              </m:r>
              <m:r>
                <w:rPr>
                  <w:rFonts w:ascii="Cambria Math"/>
                  <w:sz w:val="20"/>
                  <w:szCs w:val="20"/>
                  <w:shd w:val="clear" w:color="auto" w:fill="FFFFFF"/>
                </w:rPr>
                <m:t xml:space="preserve"> </m:t>
              </m:r>
              <m:r>
                <w:rPr>
                  <w:rFonts w:ascii="Cambria Math" w:hAnsi="Cambria Math"/>
                  <w:sz w:val="20"/>
                  <w:szCs w:val="20"/>
                  <w:shd w:val="clear" w:color="auto" w:fill="FFFFFF"/>
                </w:rPr>
                <m:t>yang</m:t>
              </m:r>
              <m:r>
                <w:rPr>
                  <w:rFonts w:ascii="Cambria Math"/>
                  <w:sz w:val="20"/>
                  <w:szCs w:val="20"/>
                  <w:shd w:val="clear" w:color="auto" w:fill="FFFFFF"/>
                </w:rPr>
                <m:t xml:space="preserve"> </m:t>
              </m:r>
              <m:r>
                <w:rPr>
                  <w:rFonts w:ascii="Cambria Math" w:hAnsi="Cambria Math"/>
                  <w:sz w:val="20"/>
                  <w:szCs w:val="20"/>
                  <w:shd w:val="clear" w:color="auto" w:fill="FFFFFF"/>
                </w:rPr>
                <m:t>Masi</m:t>
              </m:r>
              <m:r>
                <w:rPr>
                  <w:sz w:val="20"/>
                  <w:szCs w:val="20"/>
                  <w:shd w:val="clear" w:color="auto" w:fill="FFFFFF"/>
                </w:rPr>
                <m:t>h</m:t>
              </m:r>
              <m:r>
                <w:rPr>
                  <w:rFonts w:ascii="Cambria Math"/>
                  <w:sz w:val="20"/>
                  <w:szCs w:val="20"/>
                  <w:shd w:val="clear" w:color="auto" w:fill="FFFFFF"/>
                </w:rPr>
                <m:t xml:space="preserve"> </m:t>
              </m:r>
              <m:r>
                <w:rPr>
                  <w:rFonts w:ascii="Cambria Math" w:hAnsi="Cambria Math"/>
                  <w:sz w:val="20"/>
                  <w:szCs w:val="20"/>
                  <w:shd w:val="clear" w:color="auto" w:fill="FFFFFF"/>
                </w:rPr>
                <m:t>Sekola</m:t>
              </m:r>
              <m:r>
                <w:rPr>
                  <w:sz w:val="20"/>
                  <w:szCs w:val="20"/>
                  <w:shd w:val="clear" w:color="auto" w:fill="FFFFFF"/>
                </w:rPr>
                <m:t>h</m:t>
              </m:r>
              <m:r>
                <w:rPr>
                  <w:rFonts w:ascii="Cambria Math"/>
                  <w:sz w:val="20"/>
                  <w:szCs w:val="20"/>
                  <w:shd w:val="clear" w:color="auto" w:fill="FFFFFF"/>
                </w:rPr>
                <m:t xml:space="preserve"> </m:t>
              </m:r>
              <m:r>
                <w:rPr>
                  <w:rFonts w:ascii="Cambria Math" w:hAnsi="Cambria Math"/>
                  <w:sz w:val="20"/>
                  <w:szCs w:val="20"/>
                  <w:shd w:val="clear" w:color="auto" w:fill="FFFFFF"/>
                </w:rPr>
                <m:t>di</m:t>
              </m:r>
              <m:r>
                <w:rPr>
                  <w:rFonts w:ascii="Cambria Math"/>
                  <w:sz w:val="20"/>
                  <w:szCs w:val="20"/>
                  <w:shd w:val="clear" w:color="auto" w:fill="FFFFFF"/>
                </w:rPr>
                <m:t xml:space="preserve"> </m:t>
              </m:r>
              <m:r>
                <w:rPr>
                  <w:rFonts w:ascii="Cambria Math" w:hAnsi="Cambria Math"/>
                  <w:sz w:val="20"/>
                  <w:szCs w:val="20"/>
                  <w:shd w:val="clear" w:color="auto" w:fill="FFFFFF"/>
                </w:rPr>
                <m:t>SD</m:t>
              </m:r>
              <m:r>
                <w:rPr>
                  <w:rFonts w:ascii="Cambria Math"/>
                  <w:sz w:val="20"/>
                  <w:szCs w:val="20"/>
                  <w:shd w:val="clear" w:color="auto" w:fill="FFFFFF"/>
                </w:rPr>
                <m:t>/</m:t>
              </m:r>
              <m:r>
                <w:rPr>
                  <w:rFonts w:ascii="Cambria Math" w:hAnsi="Cambria Math"/>
                  <w:sz w:val="20"/>
                  <w:szCs w:val="20"/>
                  <w:shd w:val="clear" w:color="auto" w:fill="FFFFFF"/>
                </w:rPr>
                <m:t>MI</m:t>
              </m:r>
            </m:num>
            <m:den>
              <m:r>
                <w:rPr>
                  <w:rFonts w:ascii="Cambria Math" w:hAnsi="Cambria Math"/>
                  <w:sz w:val="20"/>
                  <w:szCs w:val="20"/>
                  <w:shd w:val="clear" w:color="auto" w:fill="FFFFFF"/>
                </w:rPr>
                <m:t>Jumla</m:t>
              </m:r>
              <m:r>
                <w:rPr>
                  <w:sz w:val="20"/>
                  <w:szCs w:val="20"/>
                  <w:shd w:val="clear" w:color="auto" w:fill="FFFFFF"/>
                </w:rPr>
                <m:t>h</m:t>
              </m:r>
              <m:r>
                <w:rPr>
                  <w:rFonts w:ascii="Cambria Math"/>
                  <w:sz w:val="20"/>
                  <w:szCs w:val="20"/>
                  <w:shd w:val="clear" w:color="auto" w:fill="FFFFFF"/>
                </w:rPr>
                <m:t xml:space="preserve"> </m:t>
              </m:r>
              <m:r>
                <w:rPr>
                  <w:rFonts w:ascii="Cambria Math" w:hAnsi="Cambria Math"/>
                  <w:sz w:val="20"/>
                  <w:szCs w:val="20"/>
                  <w:shd w:val="clear" w:color="auto" w:fill="FFFFFF"/>
                </w:rPr>
                <m:t>Penduduk</m:t>
              </m:r>
              <m:r>
                <w:rPr>
                  <w:rFonts w:ascii="Cambria Math"/>
                  <w:sz w:val="20"/>
                  <w:szCs w:val="20"/>
                  <w:shd w:val="clear" w:color="auto" w:fill="FFFFFF"/>
                </w:rPr>
                <m:t xml:space="preserve"> </m:t>
              </m:r>
              <m:r>
                <w:rPr>
                  <w:rFonts w:ascii="Cambria Math" w:hAnsi="Cambria Math"/>
                  <w:sz w:val="20"/>
                  <w:szCs w:val="20"/>
                  <w:shd w:val="clear" w:color="auto" w:fill="FFFFFF"/>
                </w:rPr>
                <m:t>Usia</m:t>
              </m:r>
              <m:r>
                <w:rPr>
                  <w:rFonts w:ascii="Cambria Math"/>
                  <w:sz w:val="20"/>
                  <w:szCs w:val="20"/>
                  <w:shd w:val="clear" w:color="auto" w:fill="FFFFFF"/>
                </w:rPr>
                <m:t xml:space="preserve"> 7</m:t>
              </m:r>
              <m:r>
                <w:rPr>
                  <w:sz w:val="20"/>
                  <w:szCs w:val="20"/>
                  <w:shd w:val="clear" w:color="auto" w:fill="FFFFFF"/>
                </w:rPr>
                <m:t>-</m:t>
              </m:r>
              <m:r>
                <w:rPr>
                  <w:rFonts w:ascii="Cambria Math"/>
                  <w:sz w:val="20"/>
                  <w:szCs w:val="20"/>
                  <w:shd w:val="clear" w:color="auto" w:fill="FFFFFF"/>
                </w:rPr>
                <m:t>12</m:t>
              </m:r>
              <m:r>
                <w:rPr>
                  <w:rFonts w:ascii="Cambria Math" w:hAnsi="Cambria Math"/>
                  <w:sz w:val="20"/>
                  <w:szCs w:val="20"/>
                  <w:shd w:val="clear" w:color="auto" w:fill="FFFFFF"/>
                </w:rPr>
                <m:t>t</m:t>
              </m:r>
              <m:r>
                <w:rPr>
                  <w:sz w:val="20"/>
                  <w:szCs w:val="20"/>
                  <w:shd w:val="clear" w:color="auto" w:fill="FFFFFF"/>
                </w:rPr>
                <m:t>h</m:t>
              </m:r>
            </m:den>
          </m:f>
          <m:r>
            <w:rPr>
              <w:rFonts w:ascii="Cambria Math" w:hAnsi="Cambria Math"/>
              <w:sz w:val="20"/>
              <w:szCs w:val="20"/>
              <w:shd w:val="clear" w:color="auto" w:fill="FFFFFF"/>
            </w:rPr>
            <m:t>x</m:t>
          </m:r>
          <m:r>
            <w:rPr>
              <w:rFonts w:ascii="Cambria Math"/>
              <w:sz w:val="20"/>
              <w:szCs w:val="20"/>
              <w:shd w:val="clear" w:color="auto" w:fill="FFFFFF"/>
            </w:rPr>
            <m:t>100</m:t>
          </m:r>
        </m:oMath>
      </m:oMathPara>
    </w:p>
    <w:p w:rsidR="0023051F" w:rsidRPr="0023051F" w:rsidRDefault="0023051F" w:rsidP="0023051F">
      <w:pPr>
        <w:pStyle w:val="IEEEParagraph"/>
        <w:rPr>
          <w:b/>
          <w:bCs/>
          <w:iCs/>
          <w:shd w:val="clear" w:color="auto" w:fill="FFFFFF"/>
        </w:rPr>
      </w:pPr>
    </w:p>
    <w:p w:rsidR="0023051F" w:rsidRPr="00A90924" w:rsidRDefault="00100EF8" w:rsidP="00A90924">
      <w:pPr>
        <w:pStyle w:val="IEEEParagraph"/>
        <w:rPr>
          <w:shd w:val="clear" w:color="auto" w:fill="FFFFFF"/>
          <w:lang w:val="en-GB"/>
        </w:rPr>
      </w:pPr>
      <m:oMathPara>
        <m:oMath>
          <m:r>
            <m:rPr>
              <m:sty m:val="p"/>
            </m:rPr>
            <w:rPr>
              <w:rFonts w:ascii="Cambria Math"/>
              <w:sz w:val="20"/>
              <w:szCs w:val="20"/>
              <w:shd w:val="clear" w:color="auto" w:fill="FFFFFF"/>
            </w:rPr>
            <m:t>APM SD/MI 7</m:t>
          </m:r>
          <m:r>
            <m:rPr>
              <m:sty m:val="p"/>
            </m:rPr>
            <w:rPr>
              <w:sz w:val="20"/>
              <w:szCs w:val="20"/>
              <w:shd w:val="clear" w:color="auto" w:fill="FFFFFF"/>
            </w:rPr>
            <m:t>-</m:t>
          </m:r>
          <m:r>
            <m:rPr>
              <m:sty m:val="p"/>
            </m:rPr>
            <w:rPr>
              <w:rFonts w:ascii="Cambria Math"/>
              <w:sz w:val="20"/>
              <w:szCs w:val="20"/>
              <w:shd w:val="clear" w:color="auto" w:fill="FFFFFF"/>
            </w:rPr>
            <m:t>12th</m:t>
          </m:r>
          <m:r>
            <w:rPr>
              <w:rFonts w:ascii="Cambria Math"/>
              <w:sz w:val="20"/>
              <w:szCs w:val="20"/>
              <w:shd w:val="clear" w:color="auto" w:fill="FFFFFF"/>
            </w:rPr>
            <m:t>=</m:t>
          </m:r>
          <m:f>
            <m:fPr>
              <m:ctrlPr>
                <w:rPr>
                  <w:rFonts w:ascii="Cambria Math" w:hAnsi="Cambria Math"/>
                  <w:iCs/>
                  <w:sz w:val="20"/>
                  <w:szCs w:val="20"/>
                  <w:shd w:val="clear" w:color="auto" w:fill="FFFFFF"/>
                </w:rPr>
              </m:ctrlPr>
            </m:fPr>
            <m:num>
              <m:r>
                <w:rPr>
                  <w:rFonts w:ascii="Cambria Math" w:hAnsi="Cambria Math"/>
                  <w:sz w:val="20"/>
                  <w:szCs w:val="20"/>
                  <w:shd w:val="clear" w:color="auto" w:fill="FFFFFF"/>
                </w:rPr>
                <m:t>Jumla</m:t>
              </m:r>
              <m:r>
                <w:rPr>
                  <w:sz w:val="20"/>
                  <w:szCs w:val="20"/>
                  <w:shd w:val="clear" w:color="auto" w:fill="FFFFFF"/>
                </w:rPr>
                <m:t>h</m:t>
              </m:r>
              <m:r>
                <w:rPr>
                  <w:rFonts w:ascii="Cambria Math"/>
                  <w:sz w:val="20"/>
                  <w:szCs w:val="20"/>
                  <w:shd w:val="clear" w:color="auto" w:fill="FFFFFF"/>
                </w:rPr>
                <m:t xml:space="preserve"> </m:t>
              </m:r>
              <m:r>
                <w:rPr>
                  <w:rFonts w:ascii="Cambria Math" w:hAnsi="Cambria Math"/>
                  <w:sz w:val="20"/>
                  <w:szCs w:val="20"/>
                  <w:shd w:val="clear" w:color="auto" w:fill="FFFFFF"/>
                </w:rPr>
                <m:t>Murid</m:t>
              </m:r>
              <m:r>
                <w:rPr>
                  <w:rFonts w:ascii="Cambria Math"/>
                  <w:sz w:val="20"/>
                  <w:szCs w:val="20"/>
                  <w:shd w:val="clear" w:color="auto" w:fill="FFFFFF"/>
                </w:rPr>
                <m:t xml:space="preserve"> </m:t>
              </m:r>
              <m:r>
                <w:rPr>
                  <w:rFonts w:ascii="Cambria Math" w:hAnsi="Cambria Math"/>
                  <w:sz w:val="20"/>
                  <w:szCs w:val="20"/>
                  <w:shd w:val="clear" w:color="auto" w:fill="FFFFFF"/>
                </w:rPr>
                <m:t>SDMI</m:t>
              </m:r>
              <m:r>
                <w:rPr>
                  <w:rFonts w:ascii="Cambria Math"/>
                  <w:sz w:val="20"/>
                  <w:szCs w:val="20"/>
                  <w:shd w:val="clear" w:color="auto" w:fill="FFFFFF"/>
                </w:rPr>
                <m:t xml:space="preserve"> </m:t>
              </m:r>
              <m:r>
                <w:rPr>
                  <w:rFonts w:ascii="Cambria Math" w:hAnsi="Cambria Math"/>
                  <w:sz w:val="20"/>
                  <w:szCs w:val="20"/>
                  <w:shd w:val="clear" w:color="auto" w:fill="FFFFFF"/>
                </w:rPr>
                <m:t>Usia</m:t>
              </m:r>
              <m:r>
                <w:rPr>
                  <w:rFonts w:ascii="Cambria Math"/>
                  <w:sz w:val="20"/>
                  <w:szCs w:val="20"/>
                  <w:shd w:val="clear" w:color="auto" w:fill="FFFFFF"/>
                </w:rPr>
                <m:t xml:space="preserve"> 7</m:t>
              </m:r>
              <m:r>
                <w:rPr>
                  <w:sz w:val="20"/>
                  <w:szCs w:val="20"/>
                  <w:shd w:val="clear" w:color="auto" w:fill="FFFFFF"/>
                </w:rPr>
                <m:t>-</m:t>
              </m:r>
              <m:r>
                <w:rPr>
                  <w:rFonts w:ascii="Cambria Math"/>
                  <w:sz w:val="20"/>
                  <w:szCs w:val="20"/>
                  <w:shd w:val="clear" w:color="auto" w:fill="FFFFFF"/>
                </w:rPr>
                <m:t>12</m:t>
              </m:r>
              <m:r>
                <w:rPr>
                  <w:rFonts w:ascii="Cambria Math" w:hAnsi="Cambria Math"/>
                  <w:sz w:val="20"/>
                  <w:szCs w:val="20"/>
                  <w:shd w:val="clear" w:color="auto" w:fill="FFFFFF"/>
                </w:rPr>
                <m:t>t</m:t>
              </m:r>
              <m:r>
                <w:rPr>
                  <w:sz w:val="20"/>
                  <w:szCs w:val="20"/>
                  <w:shd w:val="clear" w:color="auto" w:fill="FFFFFF"/>
                </w:rPr>
                <m:t>h</m:t>
              </m:r>
            </m:num>
            <m:den>
              <m:r>
                <w:rPr>
                  <w:rFonts w:ascii="Cambria Math" w:hAnsi="Cambria Math"/>
                  <w:sz w:val="20"/>
                  <w:szCs w:val="20"/>
                  <w:shd w:val="clear" w:color="auto" w:fill="FFFFFF"/>
                </w:rPr>
                <m:t>Jumla</m:t>
              </m:r>
              <m:r>
                <w:rPr>
                  <w:sz w:val="20"/>
                  <w:szCs w:val="20"/>
                  <w:shd w:val="clear" w:color="auto" w:fill="FFFFFF"/>
                </w:rPr>
                <m:t>h</m:t>
              </m:r>
              <m:r>
                <w:rPr>
                  <w:rFonts w:ascii="Cambria Math"/>
                  <w:sz w:val="20"/>
                  <w:szCs w:val="20"/>
                  <w:shd w:val="clear" w:color="auto" w:fill="FFFFFF"/>
                </w:rPr>
                <m:t xml:space="preserve"> </m:t>
              </m:r>
              <m:r>
                <w:rPr>
                  <w:rFonts w:ascii="Cambria Math" w:hAnsi="Cambria Math"/>
                  <w:sz w:val="20"/>
                  <w:szCs w:val="20"/>
                  <w:shd w:val="clear" w:color="auto" w:fill="FFFFFF"/>
                </w:rPr>
                <m:t>Penduduk</m:t>
              </m:r>
              <m:r>
                <w:rPr>
                  <w:rFonts w:ascii="Cambria Math"/>
                  <w:sz w:val="20"/>
                  <w:szCs w:val="20"/>
                  <w:shd w:val="clear" w:color="auto" w:fill="FFFFFF"/>
                </w:rPr>
                <m:t xml:space="preserve"> </m:t>
              </m:r>
              <m:r>
                <w:rPr>
                  <w:rFonts w:ascii="Cambria Math" w:hAnsi="Cambria Math"/>
                  <w:sz w:val="20"/>
                  <w:szCs w:val="20"/>
                  <w:shd w:val="clear" w:color="auto" w:fill="FFFFFF"/>
                </w:rPr>
                <m:t>Usia</m:t>
              </m:r>
              <m:r>
                <w:rPr>
                  <w:rFonts w:ascii="Cambria Math"/>
                  <w:sz w:val="20"/>
                  <w:szCs w:val="20"/>
                  <w:shd w:val="clear" w:color="auto" w:fill="FFFFFF"/>
                </w:rPr>
                <m:t xml:space="preserve"> 7</m:t>
              </m:r>
              <m:r>
                <w:rPr>
                  <w:sz w:val="20"/>
                  <w:szCs w:val="20"/>
                  <w:shd w:val="clear" w:color="auto" w:fill="FFFFFF"/>
                </w:rPr>
                <m:t>-</m:t>
              </m:r>
              <m:r>
                <w:rPr>
                  <w:rFonts w:ascii="Cambria Math"/>
                  <w:sz w:val="20"/>
                  <w:szCs w:val="20"/>
                  <w:shd w:val="clear" w:color="auto" w:fill="FFFFFF"/>
                </w:rPr>
                <m:t>12</m:t>
              </m:r>
              <m:r>
                <w:rPr>
                  <w:rFonts w:ascii="Cambria Math" w:hAnsi="Cambria Math"/>
                  <w:sz w:val="20"/>
                  <w:szCs w:val="20"/>
                  <w:shd w:val="clear" w:color="auto" w:fill="FFFFFF"/>
                </w:rPr>
                <m:t>t</m:t>
              </m:r>
              <m:r>
                <w:rPr>
                  <w:sz w:val="20"/>
                  <w:szCs w:val="20"/>
                  <w:shd w:val="clear" w:color="auto" w:fill="FFFFFF"/>
                </w:rPr>
                <m:t>h</m:t>
              </m:r>
            </m:den>
          </m:f>
          <m:r>
            <w:rPr>
              <w:rFonts w:ascii="Cambria Math" w:hAnsi="Cambria Math"/>
              <w:sz w:val="20"/>
              <w:szCs w:val="20"/>
              <w:shd w:val="clear" w:color="auto" w:fill="FFFFFF"/>
            </w:rPr>
            <m:t>x</m:t>
          </m:r>
          <m:r>
            <w:rPr>
              <w:rFonts w:ascii="Cambria Math"/>
              <w:sz w:val="20"/>
              <w:szCs w:val="20"/>
              <w:shd w:val="clear" w:color="auto" w:fill="FFFFFF"/>
            </w:rPr>
            <m:t>100</m:t>
          </m:r>
        </m:oMath>
      </m:oMathPara>
    </w:p>
    <w:p w:rsidR="0023051F" w:rsidRPr="0023051F" w:rsidRDefault="0023051F" w:rsidP="0023051F">
      <w:pPr>
        <w:pStyle w:val="IEEEParagraph"/>
        <w:rPr>
          <w:iCs/>
          <w:shd w:val="clear" w:color="auto" w:fill="FFFFFF"/>
        </w:rPr>
      </w:pPr>
      <w:r w:rsidRPr="0023051F">
        <w:rPr>
          <w:iCs/>
          <w:shd w:val="clear" w:color="auto" w:fill="FFFFFF"/>
        </w:rPr>
        <w:t>Catatan:</w:t>
      </w:r>
    </w:p>
    <w:p w:rsidR="0023051F" w:rsidRPr="0023051F" w:rsidRDefault="0023051F" w:rsidP="0023051F">
      <w:pPr>
        <w:pStyle w:val="IEEEParagraph"/>
        <w:rPr>
          <w:iCs/>
          <w:shd w:val="clear" w:color="auto" w:fill="FFFFFF"/>
        </w:rPr>
      </w:pPr>
      <w:r w:rsidRPr="0023051F">
        <w:rPr>
          <w:iCs/>
          <w:shd w:val="clear" w:color="auto" w:fill="FFFFFF"/>
        </w:rPr>
        <w:t>APS</w:t>
      </w:r>
      <w:r w:rsidRPr="0023051F">
        <w:rPr>
          <w:iCs/>
          <w:shd w:val="clear" w:color="auto" w:fill="FFFFFF"/>
        </w:rPr>
        <w:tab/>
        <w:t>: Kelompok usia sekolah (7-12 tahun,  13-15 tahun, 16-18 tahun dan 19-24 tahun)</w:t>
      </w:r>
    </w:p>
    <w:p w:rsidR="0023051F" w:rsidRPr="0023051F" w:rsidRDefault="0023051F" w:rsidP="0023051F">
      <w:pPr>
        <w:pStyle w:val="IEEEParagraph"/>
        <w:rPr>
          <w:iCs/>
          <w:shd w:val="clear" w:color="auto" w:fill="FFFFFF"/>
        </w:rPr>
      </w:pPr>
      <w:r w:rsidRPr="0023051F">
        <w:rPr>
          <w:iCs/>
          <w:shd w:val="clear" w:color="auto" w:fill="FFFFFF"/>
        </w:rPr>
        <w:t>APK</w:t>
      </w:r>
      <w:r w:rsidRPr="0023051F">
        <w:rPr>
          <w:iCs/>
          <w:shd w:val="clear" w:color="auto" w:fill="FFFFFF"/>
        </w:rPr>
        <w:tab/>
        <w:t>:Jenjang Pendidikan  SD/MI, Angka Partisipasi Kasar (APK) SMP/MTs, Angka Partisipasi Kasar SM/MA, atau Angka</w:t>
      </w:r>
    </w:p>
    <w:p w:rsidR="0023051F" w:rsidRPr="0023051F" w:rsidRDefault="0023051F" w:rsidP="0023051F">
      <w:pPr>
        <w:pStyle w:val="IEEEParagraph"/>
        <w:rPr>
          <w:iCs/>
          <w:shd w:val="clear" w:color="auto" w:fill="FFFFFF"/>
        </w:rPr>
      </w:pPr>
      <w:r w:rsidRPr="0023051F">
        <w:rPr>
          <w:iCs/>
          <w:shd w:val="clear" w:color="auto" w:fill="FFFFFF"/>
        </w:rPr>
        <w:tab/>
        <w:t xml:space="preserve">  Partisipasi Kasar Perguruan Tinggi (PT).</w:t>
      </w:r>
    </w:p>
    <w:p w:rsidR="0023051F" w:rsidRPr="0023051F" w:rsidRDefault="0023051F" w:rsidP="0023051F">
      <w:pPr>
        <w:pStyle w:val="IEEEParagraph"/>
        <w:rPr>
          <w:iCs/>
          <w:shd w:val="clear" w:color="auto" w:fill="FFFFFF"/>
        </w:rPr>
      </w:pPr>
      <w:r w:rsidRPr="0023051F">
        <w:rPr>
          <w:iCs/>
          <w:shd w:val="clear" w:color="auto" w:fill="FFFFFF"/>
        </w:rPr>
        <w:t>APM</w:t>
      </w:r>
      <w:r w:rsidRPr="0023051F">
        <w:rPr>
          <w:iCs/>
          <w:shd w:val="clear" w:color="auto" w:fill="FFFFFF"/>
        </w:rPr>
        <w:tab/>
        <w:t>: Jenjang SD/MI usia 7-12 tahun, SMP/MTs: usia 13-15 tahun, SM/MA : usia 16 -18 tahun, dan</w:t>
      </w:r>
    </w:p>
    <w:p w:rsidR="0023051F" w:rsidRPr="0023051F" w:rsidRDefault="0023051F" w:rsidP="0023051F">
      <w:pPr>
        <w:pStyle w:val="IEEEParagraph"/>
        <w:rPr>
          <w:iCs/>
          <w:shd w:val="clear" w:color="auto" w:fill="FFFFFF"/>
          <w:lang w:val="en-GB"/>
        </w:rPr>
      </w:pPr>
      <w:r w:rsidRPr="0023051F">
        <w:rPr>
          <w:iCs/>
          <w:shd w:val="clear" w:color="auto" w:fill="FFFFFF"/>
        </w:rPr>
        <w:tab/>
        <w:t xml:space="preserve">  Perguruan tinggi: usia 19-24 tahun.</w:t>
      </w:r>
    </w:p>
    <w:p w:rsidR="0023051F" w:rsidRPr="0023051F" w:rsidRDefault="0023051F" w:rsidP="0023051F">
      <w:pPr>
        <w:pStyle w:val="IEEEParagraph"/>
        <w:rPr>
          <w:i/>
          <w:iCs/>
          <w:shd w:val="clear" w:color="auto" w:fill="FFFFFF"/>
          <w:lang w:val="en-GB"/>
        </w:rPr>
      </w:pPr>
      <w:r w:rsidRPr="0023051F">
        <w:rPr>
          <w:i/>
          <w:iCs/>
          <w:shd w:val="clear" w:color="auto" w:fill="FFFFFF"/>
          <w:lang w:val="en-GB"/>
        </w:rPr>
        <w:t>(</w:t>
      </w:r>
      <w:proofErr w:type="spellStart"/>
      <w:r w:rsidRPr="0023051F">
        <w:rPr>
          <w:i/>
          <w:iCs/>
          <w:shd w:val="clear" w:color="auto" w:fill="FFFFFF"/>
          <w:lang w:val="en-GB"/>
        </w:rPr>
        <w:t>Sumber</w:t>
      </w:r>
      <w:proofErr w:type="spellEnd"/>
      <w:r w:rsidRPr="0023051F">
        <w:rPr>
          <w:i/>
          <w:iCs/>
          <w:shd w:val="clear" w:color="auto" w:fill="FFFFFF"/>
          <w:lang w:val="en-GB"/>
        </w:rPr>
        <w:t>: BPS).</w:t>
      </w:r>
    </w:p>
    <w:p w:rsidR="00C34DC0" w:rsidRPr="0023051F" w:rsidRDefault="00C34DC0" w:rsidP="00A94F09">
      <w:pPr>
        <w:spacing w:after="0" w:line="276" w:lineRule="auto"/>
        <w:ind w:right="-5"/>
        <w:jc w:val="both"/>
        <w:rPr>
          <w:rFonts w:ascii="Times New Roman" w:hAnsi="Times New Roman" w:cs="Times New Roman"/>
          <w:sz w:val="24"/>
          <w:szCs w:val="24"/>
          <w:lang w:val="en-GB"/>
        </w:rPr>
      </w:pPr>
    </w:p>
    <w:p w:rsidR="002149DA" w:rsidRPr="00430FA0" w:rsidRDefault="00A90924" w:rsidP="0023051F">
      <w:pPr>
        <w:shd w:val="clear" w:color="auto" w:fill="FFFFFF"/>
        <w:spacing w:after="0" w:line="240" w:lineRule="auto"/>
        <w:jc w:val="both"/>
        <w:rPr>
          <w:rFonts w:ascii="Times New Roman" w:eastAsia="Times New Roman" w:hAnsi="Times New Roman" w:cs="Times New Roman"/>
          <w:color w:val="000000"/>
          <w:sz w:val="24"/>
          <w:szCs w:val="24"/>
          <w:lang w:val="en-US"/>
        </w:rPr>
      </w:pPr>
      <w:proofErr w:type="spellStart"/>
      <w:r>
        <w:rPr>
          <w:rFonts w:ascii="Times New Roman" w:hAnsi="Times New Roman"/>
          <w:b/>
          <w:color w:val="000000"/>
          <w:sz w:val="24"/>
          <w:szCs w:val="24"/>
          <w:lang w:val="en-US"/>
        </w:rPr>
        <w:t>Metode</w:t>
      </w:r>
      <w:proofErr w:type="spellEnd"/>
      <w:r>
        <w:rPr>
          <w:rFonts w:ascii="Times New Roman" w:hAnsi="Times New Roman"/>
          <w:b/>
          <w:color w:val="000000"/>
          <w:sz w:val="24"/>
          <w:szCs w:val="24"/>
          <w:lang w:val="en-US"/>
        </w:rPr>
        <w:t xml:space="preserve"> </w:t>
      </w:r>
      <w:proofErr w:type="spellStart"/>
      <w:r>
        <w:rPr>
          <w:rFonts w:ascii="Times New Roman" w:hAnsi="Times New Roman"/>
          <w:b/>
          <w:color w:val="000000"/>
          <w:sz w:val="24"/>
          <w:szCs w:val="24"/>
          <w:lang w:val="en-US"/>
        </w:rPr>
        <w:t>Penelitian</w:t>
      </w:r>
      <w:proofErr w:type="spellEnd"/>
    </w:p>
    <w:p w:rsidR="0023051F" w:rsidRPr="0023051F" w:rsidRDefault="00A90924" w:rsidP="0023051F">
      <w:pPr>
        <w:pStyle w:val="IEEEParagraph"/>
        <w:ind w:firstLine="0"/>
        <w:rPr>
          <w:shd w:val="clear" w:color="auto" w:fill="FFFFFF"/>
        </w:rPr>
      </w:pPr>
      <w:r>
        <w:rPr>
          <w:rStyle w:val="mediumtext"/>
          <w:shd w:val="clear" w:color="auto" w:fill="FFFFFF"/>
          <w:lang w:val="en-GB"/>
        </w:rPr>
        <w:tab/>
      </w:r>
      <w:r w:rsidR="0023051F" w:rsidRPr="0023051F">
        <w:rPr>
          <w:rStyle w:val="mediumtext"/>
          <w:shd w:val="clear" w:color="auto" w:fill="FFFFFF"/>
        </w:rPr>
        <w:t>Penelitian ini menggunakan pendekatan kuantitatif statistik dengan analisis deskriptif</w:t>
      </w:r>
      <w:r w:rsidR="0023051F" w:rsidRPr="0023051F">
        <w:rPr>
          <w:shd w:val="clear" w:color="auto" w:fill="FFFFFF"/>
        </w:rPr>
        <w:t xml:space="preserve"> e</w:t>
      </w:r>
      <w:r w:rsidR="0023051F" w:rsidRPr="0023051F">
        <w:rPr>
          <w:shd w:val="clear" w:color="auto" w:fill="FFFFFF"/>
          <w:lang w:val="en-GB"/>
        </w:rPr>
        <w:t>x</w:t>
      </w:r>
      <w:r w:rsidR="0023051F" w:rsidRPr="0023051F">
        <w:rPr>
          <w:shd w:val="clear" w:color="auto" w:fill="FFFFFF"/>
        </w:rPr>
        <w:t>sploratif</w:t>
      </w:r>
      <w:r w:rsidR="0023051F" w:rsidRPr="0023051F">
        <w:rPr>
          <w:rStyle w:val="mediumtext"/>
          <w:shd w:val="clear" w:color="auto" w:fill="FFFFFF"/>
        </w:rPr>
        <w:t xml:space="preserve">. </w:t>
      </w:r>
      <w:r w:rsidR="0023051F" w:rsidRPr="0023051F">
        <w:rPr>
          <w:shd w:val="clear" w:color="auto" w:fill="FFFFFF"/>
        </w:rPr>
        <w:t xml:space="preserve">Penelitian deskriptif adalah penelitian yang bertujuan untuk menjelaskan suatu peristiwa, keadaan, objek baik berupa orang, atau segala sesuatu yang berhubungan dengan variabe yang bisa dijelaskan menggunakan angka-angka maupun kata-kata tanpa melakukan treatmen apapun terhadap variabel </w:t>
      </w:r>
      <w:r w:rsidR="006128CC" w:rsidRPr="0023051F">
        <w:rPr>
          <w:shd w:val="clear" w:color="auto" w:fill="FFFFFF"/>
          <w:lang w:val="en-GB"/>
        </w:rPr>
        <w:fldChar w:fldCharType="begin" w:fldLock="1"/>
      </w:r>
      <w:r w:rsidR="0023051F" w:rsidRPr="0023051F">
        <w:rPr>
          <w:shd w:val="clear" w:color="auto" w:fill="FFFFFF"/>
        </w:rPr>
        <w:instrText>ADDIN CSL_CITATION {"citationItems":[{"id":"ITEM-1","itemData":{"abstract":".","author":[{"dropping-particle":"","family":"Punaji","given":"S","non-dropping-particle":"","parse-names":false,"suffix":""}],"id":"ITEM-1","issued":{"date-parts":[["2010"]]},"publisher":"Kencana","publisher-place":"Jakarta","title":"Metode penelitian pendidikan dan pengembangan","type":"book"},"uris":["http://www.mendeley.com/documents/?uuid=0d28d020-5aa0-42f7-ad82-50ff44d4b0ea"]},{"id":"ITEM-2","itemData":{"author":[{"dropping-particle":"","family":"Sukmadinata","given":"N. S","non-dropping-particle":"","parse-names":false,"suffix":""}],"id":"ITEM-2","issued":{"date-parts":[["2012"]]},"publisher":"PT Remaja Rosdakarya","publisher-place":"Bandung","title":"Metode Penelitian Pendidikan","type":"book"},"uris":["http://www.mendeley.com/documents/?uuid=8a1a6cb7-61c8-4a6f-9328-695f319b6274"]}],"mendeley":{"formattedCitation":"(Punaji, 2010; Sukmadinata, 2012)","plainTextFormattedCitation":"(Punaji, 2010; Sukmadinata, 2012)","previouslyFormattedCitation":"(Punaji, 2010; Sukmadinata, 2012)"},"properties":{"noteIndex":0},"schema":"https://github.com/citation-style-language/schema/raw/master/csl-citation.json"}</w:instrText>
      </w:r>
      <w:r w:rsidR="006128CC" w:rsidRPr="0023051F">
        <w:rPr>
          <w:shd w:val="clear" w:color="auto" w:fill="FFFFFF"/>
          <w:lang w:val="en-GB"/>
        </w:rPr>
        <w:fldChar w:fldCharType="separate"/>
      </w:r>
      <w:r w:rsidR="0023051F" w:rsidRPr="0023051F">
        <w:rPr>
          <w:noProof/>
          <w:shd w:val="clear" w:color="auto" w:fill="FFFFFF"/>
        </w:rPr>
        <w:t>(Punaji, 2010; Sukmadinata, 2012)</w:t>
      </w:r>
      <w:r w:rsidR="006128CC" w:rsidRPr="0023051F">
        <w:rPr>
          <w:shd w:val="clear" w:color="auto" w:fill="FFFFFF"/>
          <w:lang w:val="en-GB"/>
        </w:rPr>
        <w:fldChar w:fldCharType="end"/>
      </w:r>
      <w:r w:rsidR="0023051F" w:rsidRPr="0023051F">
        <w:rPr>
          <w:shd w:val="clear" w:color="auto" w:fill="FFFFFF"/>
        </w:rPr>
        <w:t xml:space="preserve">. Penelitian deskriptif exsploratif bertujuan menggambarkan keadaan, fenomena tanpa melakukan uji hipotesis tertentu tetapi hanya menggambarkan apa adanya suatu variabel, gejala dan keadaan </w:t>
      </w:r>
      <w:r w:rsidR="006128CC" w:rsidRPr="0023051F">
        <w:rPr>
          <w:shd w:val="clear" w:color="auto" w:fill="FFFFFF"/>
          <w:lang w:val="en-GB"/>
        </w:rPr>
        <w:fldChar w:fldCharType="begin" w:fldLock="1"/>
      </w:r>
      <w:r w:rsidR="0023051F" w:rsidRPr="0023051F">
        <w:rPr>
          <w:shd w:val="clear" w:color="auto" w:fill="FFFFFF"/>
        </w:rPr>
        <w:instrText>ADDIN CSL_CITATION {"citationItems":[{"id":"ITEM-1","itemData":{"author":[{"dropping-particle":"","family":"Arikunto","given":"S","non-dropping-particle":"","parse-names":false,"suffix":""}],"id":"ITEM-1","issued":{"date-parts":[["2002"]]},"publisher":"Rineka Cipta","publisher-place":"Jakarta","title":"Prosedur suatu penelitian: pendekatan praktek. Edisi Revisi Kelima","type":"book"},"uris":["http://www.mendeley.com/documents/?uuid=0111c02f-53bf-4a9d-b105-20296128aca7"]}],"mendeley":{"formattedCitation":"(Arikunto, 2002)","plainTextFormattedCitation":"(Arikunto, 2002)","previouslyFormattedCitation":"(Arikunto, 2002)"},"properties":{"noteIndex":0},"schema":"https://github.com/citation-style-language/schema/raw/master/csl-citation.json"}</w:instrText>
      </w:r>
      <w:r w:rsidR="006128CC" w:rsidRPr="0023051F">
        <w:rPr>
          <w:shd w:val="clear" w:color="auto" w:fill="FFFFFF"/>
          <w:lang w:val="en-GB"/>
        </w:rPr>
        <w:fldChar w:fldCharType="separate"/>
      </w:r>
      <w:r w:rsidR="0023051F" w:rsidRPr="0023051F">
        <w:rPr>
          <w:noProof/>
          <w:shd w:val="clear" w:color="auto" w:fill="FFFFFF"/>
        </w:rPr>
        <w:t>(Arikunto, 2002)</w:t>
      </w:r>
      <w:r w:rsidR="006128CC" w:rsidRPr="0023051F">
        <w:rPr>
          <w:shd w:val="clear" w:color="auto" w:fill="FFFFFF"/>
          <w:lang w:val="en-GB"/>
        </w:rPr>
        <w:fldChar w:fldCharType="end"/>
      </w:r>
      <w:r w:rsidR="0023051F" w:rsidRPr="0023051F">
        <w:rPr>
          <w:shd w:val="clear" w:color="auto" w:fill="FFFFFF"/>
        </w:rPr>
        <w:t xml:space="preserve">. </w:t>
      </w:r>
      <w:r w:rsidR="0023051F" w:rsidRPr="0023051F">
        <w:rPr>
          <w:rStyle w:val="mediumtext"/>
          <w:shd w:val="clear" w:color="auto" w:fill="FFFFFF"/>
        </w:rPr>
        <w:t>Jenis data yang digunakan adalah data sekunder dari Badan Pusat Statistik (BPS) tentang APS, APK dan APM pendidikan formal selama periode 1994-2018. Populasi dalam penelitian ini adalah seluruh masyarakat Indonesia berdasarkan usia dan jenjang pendidikan. Adapun teknik analisis data menggunakan program SPSS</w:t>
      </w:r>
      <w:r w:rsidR="0023051F" w:rsidRPr="0023051F">
        <w:rPr>
          <w:shd w:val="clear" w:color="auto" w:fill="FFFFFF"/>
        </w:rPr>
        <w:t xml:space="preserve">. </w:t>
      </w:r>
    </w:p>
    <w:p w:rsidR="00AF651B" w:rsidRPr="005C128F" w:rsidRDefault="00A90924" w:rsidP="00100EF8">
      <w:pPr>
        <w:shd w:val="clear" w:color="auto" w:fill="FFFFFF"/>
        <w:spacing w:after="0" w:line="240" w:lineRule="auto"/>
        <w:jc w:val="both"/>
        <w:rPr>
          <w:rFonts w:ascii="Times New Roman" w:eastAsia="Times New Roman" w:hAnsi="Times New Roman" w:cs="Times New Roman"/>
          <w:color w:val="000000"/>
          <w:sz w:val="24"/>
          <w:szCs w:val="24"/>
          <w:lang w:val="en-US"/>
        </w:rPr>
      </w:pPr>
      <w:proofErr w:type="spellStart"/>
      <w:r>
        <w:rPr>
          <w:rFonts w:ascii="Times New Roman" w:hAnsi="Times New Roman" w:cs="Times New Roman"/>
          <w:b/>
          <w:color w:val="000000"/>
          <w:sz w:val="24"/>
          <w:szCs w:val="24"/>
          <w:lang w:val="en-US"/>
        </w:rPr>
        <w:lastRenderedPageBreak/>
        <w:t>Hasil</w:t>
      </w:r>
      <w:proofErr w:type="spellEnd"/>
      <w:r>
        <w:rPr>
          <w:rFonts w:ascii="Times New Roman" w:hAnsi="Times New Roman" w:cs="Times New Roman"/>
          <w:b/>
          <w:color w:val="000000"/>
          <w:sz w:val="24"/>
          <w:szCs w:val="24"/>
          <w:lang w:val="en-US"/>
        </w:rPr>
        <w:t xml:space="preserve"> </w:t>
      </w:r>
      <w:proofErr w:type="spellStart"/>
      <w:r>
        <w:rPr>
          <w:rFonts w:ascii="Times New Roman" w:hAnsi="Times New Roman" w:cs="Times New Roman"/>
          <w:b/>
          <w:color w:val="000000"/>
          <w:sz w:val="24"/>
          <w:szCs w:val="24"/>
          <w:lang w:val="en-US"/>
        </w:rPr>
        <w:t>Penelitian</w:t>
      </w:r>
      <w:proofErr w:type="spellEnd"/>
      <w:r>
        <w:rPr>
          <w:rFonts w:ascii="Times New Roman" w:hAnsi="Times New Roman" w:cs="Times New Roman"/>
          <w:b/>
          <w:color w:val="000000"/>
          <w:sz w:val="24"/>
          <w:szCs w:val="24"/>
          <w:lang w:val="en-US"/>
        </w:rPr>
        <w:t xml:space="preserve"> </w:t>
      </w:r>
      <w:proofErr w:type="spellStart"/>
      <w:r>
        <w:rPr>
          <w:rFonts w:ascii="Times New Roman" w:hAnsi="Times New Roman" w:cs="Times New Roman"/>
          <w:b/>
          <w:color w:val="000000"/>
          <w:sz w:val="24"/>
          <w:szCs w:val="24"/>
          <w:lang w:val="en-US"/>
        </w:rPr>
        <w:t>dan</w:t>
      </w:r>
      <w:proofErr w:type="spellEnd"/>
      <w:r>
        <w:rPr>
          <w:rFonts w:ascii="Times New Roman" w:hAnsi="Times New Roman" w:cs="Times New Roman"/>
          <w:b/>
          <w:color w:val="000000"/>
          <w:sz w:val="24"/>
          <w:szCs w:val="24"/>
          <w:lang w:val="en-US"/>
        </w:rPr>
        <w:t xml:space="preserve"> </w:t>
      </w:r>
      <w:proofErr w:type="spellStart"/>
      <w:r>
        <w:rPr>
          <w:rFonts w:ascii="Times New Roman" w:hAnsi="Times New Roman" w:cs="Times New Roman"/>
          <w:b/>
          <w:color w:val="000000"/>
          <w:sz w:val="24"/>
          <w:szCs w:val="24"/>
          <w:lang w:val="en-US"/>
        </w:rPr>
        <w:t>Pembahasan</w:t>
      </w:r>
      <w:proofErr w:type="spellEnd"/>
    </w:p>
    <w:p w:rsidR="00100EF8" w:rsidRDefault="00A90924" w:rsidP="00100EF8">
      <w:pPr>
        <w:pStyle w:val="IEEEFigureCaptionSingle-Line"/>
        <w:spacing w:before="0" w:after="0"/>
        <w:rPr>
          <w:rFonts w:asciiTheme="majorBidi" w:hAnsiTheme="majorBidi" w:cstheme="majorBidi"/>
          <w:sz w:val="24"/>
          <w:lang w:val="en-GB"/>
        </w:rPr>
      </w:pPr>
      <w:proofErr w:type="spellStart"/>
      <w:r>
        <w:rPr>
          <w:b/>
          <w:color w:val="000000"/>
          <w:sz w:val="24"/>
          <w:lang w:val="en-US"/>
        </w:rPr>
        <w:t>Hasil</w:t>
      </w:r>
      <w:proofErr w:type="spellEnd"/>
      <w:r>
        <w:rPr>
          <w:b/>
          <w:color w:val="000000"/>
          <w:sz w:val="24"/>
          <w:lang w:val="en-US"/>
        </w:rPr>
        <w:t xml:space="preserve"> </w:t>
      </w:r>
      <w:proofErr w:type="spellStart"/>
      <w:r>
        <w:rPr>
          <w:b/>
          <w:color w:val="000000"/>
          <w:sz w:val="24"/>
          <w:lang w:val="en-US"/>
        </w:rPr>
        <w:t>Penelitian</w:t>
      </w:r>
      <w:proofErr w:type="spellEnd"/>
    </w:p>
    <w:p w:rsidR="0023051F" w:rsidRPr="0023051F" w:rsidRDefault="00A90924" w:rsidP="0023051F">
      <w:pPr>
        <w:pStyle w:val="IEEEFigureCaptionSingle-Line"/>
        <w:spacing w:before="0" w:after="0"/>
        <w:jc w:val="both"/>
        <w:rPr>
          <w:rFonts w:asciiTheme="majorBidi" w:hAnsiTheme="majorBidi" w:cstheme="majorBidi"/>
          <w:sz w:val="24"/>
        </w:rPr>
      </w:pPr>
      <w:r>
        <w:rPr>
          <w:rFonts w:asciiTheme="majorBidi" w:hAnsiTheme="majorBidi" w:cstheme="majorBidi"/>
          <w:sz w:val="24"/>
          <w:lang w:val="en-GB"/>
        </w:rPr>
        <w:tab/>
      </w:r>
      <w:r w:rsidR="0023051F" w:rsidRPr="0023051F">
        <w:rPr>
          <w:rFonts w:asciiTheme="majorBidi" w:hAnsiTheme="majorBidi" w:cstheme="majorBidi"/>
          <w:sz w:val="24"/>
        </w:rPr>
        <w:t xml:space="preserve">Berdasarkan hasil analisis data Angka Partisipasi Sekolah (APS) selama 25 tahun terahir (periode 1994-2018) pada </w:t>
      </w:r>
      <w:r w:rsidR="0023051F" w:rsidRPr="0023051F">
        <w:rPr>
          <w:rFonts w:asciiTheme="majorBidi" w:hAnsiTheme="majorBidi" w:cstheme="majorBidi"/>
          <w:sz w:val="24"/>
          <w:lang w:val="en-GB"/>
        </w:rPr>
        <w:t>T</w:t>
      </w:r>
      <w:r w:rsidR="0023051F" w:rsidRPr="0023051F">
        <w:rPr>
          <w:rFonts w:asciiTheme="majorBidi" w:hAnsiTheme="majorBidi" w:cstheme="majorBidi"/>
          <w:sz w:val="24"/>
        </w:rPr>
        <w:t xml:space="preserve">abel 1 menunjukan bahwa nilai rrata-rata </w:t>
      </w:r>
      <w:r w:rsidR="0023051F" w:rsidRPr="0023051F">
        <w:rPr>
          <w:rFonts w:asciiTheme="majorBidi" w:hAnsiTheme="majorBidi" w:cstheme="majorBidi"/>
          <w:i/>
          <w:sz w:val="24"/>
        </w:rPr>
        <w:t>(mean)</w:t>
      </w:r>
      <w:r w:rsidR="0023051F" w:rsidRPr="0023051F">
        <w:rPr>
          <w:rFonts w:asciiTheme="majorBidi" w:hAnsiTheme="majorBidi" w:cstheme="majorBidi"/>
          <w:sz w:val="24"/>
        </w:rPr>
        <w:t xml:space="preserve"> usia 7-12 tahun sebesar 96.9146 (96,92%), usia 13-15tahun sebesar 84.3073 (84,31%), usia 16-18 tahun sebesar 56.2346 (56,24%) dan usia 19-24 tahun sebesar 15.0214 (15,02%).  Angka Partisipasi Sekolah (APS) paling tinggi terjadi pada usia 7-12, kemudian 13-15 tahun, selanjutnya16-18 tahun, sedangkan paling rendah tingkat APS nya adalah usia 19-24 tahun. Selama periode 1994-2018, APS </w:t>
      </w:r>
      <w:r w:rsidR="0023051F" w:rsidRPr="0023051F">
        <w:rPr>
          <w:rFonts w:asciiTheme="majorBidi" w:hAnsiTheme="majorBidi" w:cstheme="majorBidi"/>
          <w:i/>
          <w:sz w:val="24"/>
        </w:rPr>
        <w:t>maximum</w:t>
      </w:r>
      <w:r w:rsidR="0023051F" w:rsidRPr="0023051F">
        <w:rPr>
          <w:rFonts w:asciiTheme="majorBidi" w:hAnsiTheme="majorBidi" w:cstheme="majorBidi"/>
          <w:sz w:val="24"/>
        </w:rPr>
        <w:t xml:space="preserve"> untuk usia 7-12 tahun sebesar 99,11% dan </w:t>
      </w:r>
      <w:r w:rsidR="0023051F" w:rsidRPr="0023051F">
        <w:rPr>
          <w:rFonts w:asciiTheme="majorBidi" w:hAnsiTheme="majorBidi" w:cstheme="majorBidi"/>
          <w:i/>
          <w:sz w:val="24"/>
        </w:rPr>
        <w:t>minimum</w:t>
      </w:r>
      <w:r w:rsidR="0023051F" w:rsidRPr="0023051F">
        <w:rPr>
          <w:rFonts w:asciiTheme="majorBidi" w:hAnsiTheme="majorBidi" w:cstheme="majorBidi"/>
          <w:sz w:val="24"/>
        </w:rPr>
        <w:t xml:space="preserve"> sebesar 93,94%. Usia 13-15 tahun nilai </w:t>
      </w:r>
      <w:r w:rsidR="0023051F" w:rsidRPr="0023051F">
        <w:rPr>
          <w:rFonts w:asciiTheme="majorBidi" w:hAnsiTheme="majorBidi" w:cstheme="majorBidi"/>
          <w:i/>
          <w:sz w:val="24"/>
        </w:rPr>
        <w:t xml:space="preserve">maximum </w:t>
      </w:r>
      <w:r w:rsidR="0023051F" w:rsidRPr="0023051F">
        <w:rPr>
          <w:rFonts w:asciiTheme="majorBidi" w:hAnsiTheme="majorBidi" w:cstheme="majorBidi"/>
          <w:sz w:val="24"/>
        </w:rPr>
        <w:t xml:space="preserve">sebesar 95,23%,  </w:t>
      </w:r>
      <w:r w:rsidR="0023051F" w:rsidRPr="0023051F">
        <w:rPr>
          <w:rFonts w:asciiTheme="majorBidi" w:hAnsiTheme="majorBidi" w:cstheme="majorBidi"/>
          <w:i/>
          <w:sz w:val="24"/>
        </w:rPr>
        <w:t>minimum</w:t>
      </w:r>
      <w:r w:rsidR="0023051F" w:rsidRPr="0023051F">
        <w:rPr>
          <w:rFonts w:asciiTheme="majorBidi" w:hAnsiTheme="majorBidi" w:cstheme="majorBidi"/>
          <w:sz w:val="24"/>
        </w:rPr>
        <w:t xml:space="preserve"> sebesar 72,39%. Usia 16-18 tahun nilai </w:t>
      </w:r>
      <w:r w:rsidR="0023051F" w:rsidRPr="0023051F">
        <w:rPr>
          <w:rFonts w:asciiTheme="majorBidi" w:hAnsiTheme="majorBidi" w:cstheme="majorBidi"/>
          <w:i/>
          <w:sz w:val="24"/>
        </w:rPr>
        <w:t>maximum</w:t>
      </w:r>
      <w:r w:rsidR="0023051F" w:rsidRPr="0023051F">
        <w:rPr>
          <w:rFonts w:asciiTheme="majorBidi" w:hAnsiTheme="majorBidi" w:cstheme="majorBidi"/>
          <w:sz w:val="24"/>
        </w:rPr>
        <w:t xml:space="preserve"> sebesar 71,82%, </w:t>
      </w:r>
      <w:r w:rsidR="0023051F" w:rsidRPr="0023051F">
        <w:rPr>
          <w:rFonts w:asciiTheme="majorBidi" w:hAnsiTheme="majorBidi" w:cstheme="majorBidi"/>
          <w:i/>
          <w:sz w:val="24"/>
        </w:rPr>
        <w:t>minimum</w:t>
      </w:r>
      <w:r w:rsidR="0023051F" w:rsidRPr="0023051F">
        <w:rPr>
          <w:rFonts w:asciiTheme="majorBidi" w:hAnsiTheme="majorBidi" w:cstheme="majorBidi"/>
          <w:sz w:val="24"/>
        </w:rPr>
        <w:t xml:space="preserve"> sebesar 44,65%, sedangkan usia 19-24 tahun memperoleh nilai </w:t>
      </w:r>
      <w:r w:rsidR="0023051F" w:rsidRPr="0023051F">
        <w:rPr>
          <w:rFonts w:asciiTheme="majorBidi" w:hAnsiTheme="majorBidi" w:cstheme="majorBidi"/>
          <w:i/>
          <w:sz w:val="24"/>
        </w:rPr>
        <w:t>maximum</w:t>
      </w:r>
      <w:r w:rsidR="0023051F" w:rsidRPr="0023051F">
        <w:rPr>
          <w:rFonts w:asciiTheme="majorBidi" w:hAnsiTheme="majorBidi" w:cstheme="majorBidi"/>
          <w:sz w:val="24"/>
        </w:rPr>
        <w:t xml:space="preserve"> sebesar 24,67% dan nilai </w:t>
      </w:r>
      <w:r w:rsidR="0023051F" w:rsidRPr="0023051F">
        <w:rPr>
          <w:rFonts w:asciiTheme="majorBidi" w:hAnsiTheme="majorBidi" w:cstheme="majorBidi"/>
          <w:i/>
          <w:sz w:val="24"/>
        </w:rPr>
        <w:t>minimum</w:t>
      </w:r>
      <w:r w:rsidR="0023051F" w:rsidRPr="0023051F">
        <w:rPr>
          <w:rFonts w:asciiTheme="majorBidi" w:hAnsiTheme="majorBidi" w:cstheme="majorBidi"/>
          <w:sz w:val="24"/>
        </w:rPr>
        <w:t xml:space="preserve"> sebesar 11,38%.  Adapun berdasarkan nilai </w:t>
      </w:r>
      <w:r w:rsidR="0023051F" w:rsidRPr="0023051F">
        <w:rPr>
          <w:rFonts w:asciiTheme="majorBidi" w:hAnsiTheme="majorBidi" w:cstheme="majorBidi"/>
          <w:i/>
          <w:sz w:val="24"/>
        </w:rPr>
        <w:t>range</w:t>
      </w:r>
      <w:r w:rsidR="0023051F" w:rsidRPr="0023051F">
        <w:rPr>
          <w:rFonts w:asciiTheme="majorBidi" w:hAnsiTheme="majorBidi" w:cstheme="majorBidi"/>
          <w:sz w:val="24"/>
        </w:rPr>
        <w:t xml:space="preserve"> menunjukan bahwa selama periode 1994-2018 setiap jenjang usia mengalami peningkatan APS yaitu: 7-12 tahun sebesar 5,17%, 13-15 tahun sebesar 22,84%, 16-18 tahun sebesar 27,17% dan 19-24 tahun meningkat sebesar 13,29%. Berdasarkan data pada </w:t>
      </w:r>
      <w:r w:rsidR="0023051F" w:rsidRPr="0023051F">
        <w:rPr>
          <w:rFonts w:asciiTheme="majorBidi" w:hAnsiTheme="majorBidi" w:cstheme="majorBidi"/>
          <w:sz w:val="24"/>
          <w:lang w:val="en-GB"/>
        </w:rPr>
        <w:t>T</w:t>
      </w:r>
      <w:r w:rsidR="0023051F" w:rsidRPr="0023051F">
        <w:rPr>
          <w:rFonts w:asciiTheme="majorBidi" w:hAnsiTheme="majorBidi" w:cstheme="majorBidi"/>
          <w:sz w:val="24"/>
        </w:rPr>
        <w:t>abel 1 dapat disimpulkan bahwa semakin tinggi usia</w:t>
      </w:r>
      <w:r w:rsidR="0023051F" w:rsidRPr="0023051F">
        <w:rPr>
          <w:rFonts w:asciiTheme="majorBidi" w:hAnsiTheme="majorBidi" w:cstheme="majorBidi"/>
          <w:sz w:val="24"/>
          <w:lang w:val="en-GB"/>
        </w:rPr>
        <w:t xml:space="preserve">, </w:t>
      </w:r>
      <w:r w:rsidR="0023051F" w:rsidRPr="0023051F">
        <w:rPr>
          <w:rFonts w:asciiTheme="majorBidi" w:hAnsiTheme="majorBidi" w:cstheme="majorBidi"/>
          <w:sz w:val="24"/>
        </w:rPr>
        <w:t xml:space="preserve">nilai rata-rata </w:t>
      </w:r>
      <w:r w:rsidR="0023051F" w:rsidRPr="0023051F">
        <w:rPr>
          <w:rFonts w:asciiTheme="majorBidi" w:hAnsiTheme="majorBidi" w:cstheme="majorBidi"/>
          <w:i/>
          <w:sz w:val="24"/>
        </w:rPr>
        <w:t>(mean)</w:t>
      </w:r>
      <w:r w:rsidR="0023051F" w:rsidRPr="0023051F">
        <w:rPr>
          <w:rFonts w:asciiTheme="majorBidi" w:hAnsiTheme="majorBidi" w:cstheme="majorBidi"/>
          <w:sz w:val="24"/>
        </w:rPr>
        <w:t xml:space="preserve"> APS semakin rendah. Penjelasan lebih lanjut akan diuraikan  pada bagian pembahasan.</w:t>
      </w:r>
    </w:p>
    <w:p w:rsidR="0023051F" w:rsidRPr="0023051F" w:rsidRDefault="0023051F" w:rsidP="0023051F">
      <w:pPr>
        <w:pStyle w:val="IEEEFigureCaptionSingle-Line"/>
        <w:spacing w:before="0" w:after="0"/>
        <w:rPr>
          <w:rFonts w:asciiTheme="majorBidi" w:hAnsiTheme="majorBidi" w:cstheme="majorBidi"/>
          <w:sz w:val="24"/>
        </w:rPr>
      </w:pPr>
    </w:p>
    <w:p w:rsidR="0023051F" w:rsidRPr="0023051F" w:rsidRDefault="0023051F" w:rsidP="0023051F">
      <w:pPr>
        <w:pStyle w:val="IEEEFigureCaptionSingle-Line"/>
        <w:spacing w:before="0" w:after="0"/>
        <w:rPr>
          <w:rFonts w:asciiTheme="majorBidi" w:hAnsiTheme="majorBidi" w:cstheme="majorBidi"/>
          <w:sz w:val="24"/>
        </w:rPr>
      </w:pPr>
      <w:r w:rsidRPr="0023051F">
        <w:rPr>
          <w:rFonts w:asciiTheme="majorBidi" w:hAnsiTheme="majorBidi" w:cstheme="majorBidi"/>
          <w:sz w:val="24"/>
        </w:rPr>
        <w:t>Tab</w:t>
      </w:r>
      <w:r w:rsidRPr="0023051F">
        <w:rPr>
          <w:rFonts w:asciiTheme="majorBidi" w:hAnsiTheme="majorBidi" w:cstheme="majorBidi"/>
          <w:sz w:val="24"/>
          <w:lang w:val="en-GB"/>
        </w:rPr>
        <w:t>el</w:t>
      </w:r>
      <w:r w:rsidRPr="0023051F">
        <w:rPr>
          <w:rFonts w:asciiTheme="majorBidi" w:hAnsiTheme="majorBidi" w:cstheme="majorBidi"/>
          <w:sz w:val="24"/>
        </w:rPr>
        <w:t xml:space="preserve"> 1</w:t>
      </w:r>
      <w:r w:rsidRPr="0023051F">
        <w:rPr>
          <w:rFonts w:asciiTheme="majorBidi" w:hAnsiTheme="majorBidi" w:cstheme="majorBidi"/>
          <w:sz w:val="24"/>
          <w:lang w:val="en-GB"/>
        </w:rPr>
        <w:t xml:space="preserve">. </w:t>
      </w:r>
      <w:r w:rsidRPr="0023051F">
        <w:rPr>
          <w:rFonts w:asciiTheme="majorBidi" w:hAnsiTheme="majorBidi" w:cstheme="majorBidi"/>
          <w:sz w:val="24"/>
        </w:rPr>
        <w:t>Deskriptive Angka Partisipasi Sekolah (APS)</w:t>
      </w:r>
    </w:p>
    <w:tbl>
      <w:tblPr>
        <w:tblW w:w="8999" w:type="dxa"/>
        <w:jc w:val="center"/>
        <w:tblInd w:w="953" w:type="dxa"/>
        <w:tblBorders>
          <w:top w:val="single" w:sz="4" w:space="0" w:color="auto"/>
          <w:bottom w:val="single" w:sz="4" w:space="0" w:color="auto"/>
          <w:insideH w:val="single" w:sz="4" w:space="0" w:color="auto"/>
        </w:tblBorders>
        <w:tblLayout w:type="fixed"/>
        <w:tblCellMar>
          <w:left w:w="30" w:type="dxa"/>
          <w:right w:w="30" w:type="dxa"/>
        </w:tblCellMar>
        <w:tblLook w:val="0000"/>
      </w:tblPr>
      <w:tblGrid>
        <w:gridCol w:w="158"/>
        <w:gridCol w:w="2679"/>
        <w:gridCol w:w="1541"/>
        <w:gridCol w:w="1538"/>
        <w:gridCol w:w="1542"/>
        <w:gridCol w:w="1541"/>
      </w:tblGrid>
      <w:tr w:rsidR="0023051F" w:rsidRPr="0023051F" w:rsidTr="00A90924">
        <w:trPr>
          <w:cantSplit/>
          <w:trHeight w:val="221"/>
          <w:tblHeader/>
          <w:jc w:val="center"/>
        </w:trPr>
        <w:tc>
          <w:tcPr>
            <w:tcW w:w="8999" w:type="dxa"/>
            <w:gridSpan w:val="6"/>
            <w:shd w:val="clear" w:color="auto" w:fill="FFFFFF"/>
            <w:tcMar>
              <w:top w:w="30" w:type="dxa"/>
              <w:left w:w="30" w:type="dxa"/>
              <w:bottom w:w="30" w:type="dxa"/>
              <w:right w:w="30" w:type="dxa"/>
            </w:tcMar>
            <w:vAlign w:val="center"/>
          </w:tcPr>
          <w:p w:rsidR="0023051F" w:rsidRPr="0023051F" w:rsidRDefault="0023051F" w:rsidP="00D13265">
            <w:pPr>
              <w:pStyle w:val="IEEEFigureCaptionSingle-Line"/>
              <w:spacing w:before="0" w:after="0"/>
              <w:jc w:val="left"/>
              <w:rPr>
                <w:rFonts w:asciiTheme="majorBidi" w:hAnsiTheme="majorBidi" w:cstheme="majorBidi"/>
                <w:sz w:val="24"/>
              </w:rPr>
            </w:pPr>
            <w:r w:rsidRPr="0023051F">
              <w:rPr>
                <w:rFonts w:asciiTheme="majorBidi" w:hAnsiTheme="majorBidi" w:cstheme="majorBidi"/>
                <w:b/>
                <w:bCs/>
                <w:sz w:val="24"/>
              </w:rPr>
              <w:t>Statistics</w:t>
            </w:r>
          </w:p>
        </w:tc>
      </w:tr>
      <w:tr w:rsidR="0023051F" w:rsidRPr="0023051F" w:rsidTr="00A90924">
        <w:trPr>
          <w:cantSplit/>
          <w:trHeight w:val="221"/>
          <w:tblHeader/>
          <w:jc w:val="center"/>
        </w:trPr>
        <w:tc>
          <w:tcPr>
            <w:tcW w:w="158" w:type="dxa"/>
            <w:shd w:val="clear" w:color="auto" w:fill="FFFFFF"/>
            <w:tcMar>
              <w:top w:w="30" w:type="dxa"/>
              <w:left w:w="30" w:type="dxa"/>
              <w:bottom w:w="30" w:type="dxa"/>
              <w:right w:w="30" w:type="dxa"/>
            </w:tcMar>
          </w:tcPr>
          <w:p w:rsidR="0023051F" w:rsidRPr="0023051F" w:rsidRDefault="0023051F" w:rsidP="00D13265">
            <w:pPr>
              <w:pStyle w:val="IEEEFigureCaptionSingle-Line"/>
              <w:spacing w:before="0" w:after="0"/>
              <w:rPr>
                <w:rFonts w:asciiTheme="majorBidi" w:hAnsiTheme="majorBidi" w:cstheme="majorBidi"/>
                <w:sz w:val="24"/>
              </w:rPr>
            </w:pPr>
          </w:p>
        </w:tc>
        <w:tc>
          <w:tcPr>
            <w:tcW w:w="2679" w:type="dxa"/>
            <w:shd w:val="clear" w:color="auto" w:fill="FFFFFF"/>
            <w:tcMar>
              <w:top w:w="30" w:type="dxa"/>
              <w:left w:w="30" w:type="dxa"/>
              <w:bottom w:w="30" w:type="dxa"/>
              <w:right w:w="30" w:type="dxa"/>
            </w:tcMar>
          </w:tcPr>
          <w:p w:rsidR="0023051F" w:rsidRPr="0023051F" w:rsidRDefault="0023051F" w:rsidP="00D13265">
            <w:pPr>
              <w:pStyle w:val="IEEEFigureCaptionSingle-Line"/>
              <w:spacing w:before="0" w:after="0"/>
              <w:rPr>
                <w:rFonts w:asciiTheme="majorBidi" w:hAnsiTheme="majorBidi" w:cstheme="majorBidi"/>
                <w:sz w:val="24"/>
              </w:rPr>
            </w:pPr>
          </w:p>
        </w:tc>
        <w:tc>
          <w:tcPr>
            <w:tcW w:w="1541" w:type="dxa"/>
            <w:shd w:val="clear" w:color="auto" w:fill="FFFFFF"/>
            <w:tcMar>
              <w:top w:w="30" w:type="dxa"/>
              <w:left w:w="30" w:type="dxa"/>
              <w:bottom w:w="30" w:type="dxa"/>
              <w:right w:w="30" w:type="dxa"/>
            </w:tcMar>
            <w:vAlign w:val="bottom"/>
          </w:tcPr>
          <w:p w:rsidR="0023051F" w:rsidRPr="0023051F" w:rsidRDefault="0023051F" w:rsidP="00D13265">
            <w:pPr>
              <w:pStyle w:val="IEEEFigureCaptionSingle-Line"/>
              <w:spacing w:before="0" w:after="0"/>
              <w:rPr>
                <w:rFonts w:asciiTheme="majorBidi" w:hAnsiTheme="majorBidi" w:cstheme="majorBidi"/>
                <w:sz w:val="24"/>
              </w:rPr>
            </w:pPr>
            <w:r w:rsidRPr="0023051F">
              <w:rPr>
                <w:rFonts w:asciiTheme="majorBidi" w:hAnsiTheme="majorBidi" w:cstheme="majorBidi"/>
                <w:sz w:val="24"/>
              </w:rPr>
              <w:t>7-12Th</w:t>
            </w:r>
          </w:p>
        </w:tc>
        <w:tc>
          <w:tcPr>
            <w:tcW w:w="1538" w:type="dxa"/>
            <w:shd w:val="clear" w:color="auto" w:fill="FFFFFF"/>
            <w:tcMar>
              <w:top w:w="30" w:type="dxa"/>
              <w:left w:w="30" w:type="dxa"/>
              <w:bottom w:w="30" w:type="dxa"/>
              <w:right w:w="30" w:type="dxa"/>
            </w:tcMar>
            <w:vAlign w:val="bottom"/>
          </w:tcPr>
          <w:p w:rsidR="0023051F" w:rsidRPr="0023051F" w:rsidRDefault="0023051F" w:rsidP="00D13265">
            <w:pPr>
              <w:pStyle w:val="IEEEFigureCaptionSingle-Line"/>
              <w:spacing w:before="0" w:after="0"/>
              <w:rPr>
                <w:rFonts w:asciiTheme="majorBidi" w:hAnsiTheme="majorBidi" w:cstheme="majorBidi"/>
                <w:sz w:val="24"/>
              </w:rPr>
            </w:pPr>
            <w:r w:rsidRPr="0023051F">
              <w:rPr>
                <w:rFonts w:asciiTheme="majorBidi" w:hAnsiTheme="majorBidi" w:cstheme="majorBidi"/>
                <w:sz w:val="24"/>
              </w:rPr>
              <w:t>13-15Th</w:t>
            </w:r>
          </w:p>
        </w:tc>
        <w:tc>
          <w:tcPr>
            <w:tcW w:w="1542" w:type="dxa"/>
            <w:shd w:val="clear" w:color="auto" w:fill="FFFFFF"/>
            <w:tcMar>
              <w:top w:w="30" w:type="dxa"/>
              <w:left w:w="30" w:type="dxa"/>
              <w:bottom w:w="30" w:type="dxa"/>
              <w:right w:w="30" w:type="dxa"/>
            </w:tcMar>
            <w:vAlign w:val="bottom"/>
          </w:tcPr>
          <w:p w:rsidR="0023051F" w:rsidRPr="0023051F" w:rsidRDefault="0023051F" w:rsidP="00D13265">
            <w:pPr>
              <w:pStyle w:val="IEEEFigureCaptionSingle-Line"/>
              <w:spacing w:before="0" w:after="0"/>
              <w:rPr>
                <w:rFonts w:asciiTheme="majorBidi" w:hAnsiTheme="majorBidi" w:cstheme="majorBidi"/>
                <w:sz w:val="24"/>
              </w:rPr>
            </w:pPr>
            <w:r w:rsidRPr="0023051F">
              <w:rPr>
                <w:rFonts w:asciiTheme="majorBidi" w:hAnsiTheme="majorBidi" w:cstheme="majorBidi"/>
                <w:sz w:val="24"/>
              </w:rPr>
              <w:t>16-18Th</w:t>
            </w:r>
          </w:p>
        </w:tc>
        <w:tc>
          <w:tcPr>
            <w:tcW w:w="1541" w:type="dxa"/>
            <w:shd w:val="clear" w:color="auto" w:fill="FFFFFF"/>
            <w:tcMar>
              <w:top w:w="30" w:type="dxa"/>
              <w:left w:w="30" w:type="dxa"/>
              <w:bottom w:w="30" w:type="dxa"/>
              <w:right w:w="30" w:type="dxa"/>
            </w:tcMar>
            <w:vAlign w:val="bottom"/>
          </w:tcPr>
          <w:p w:rsidR="0023051F" w:rsidRPr="0023051F" w:rsidRDefault="0023051F" w:rsidP="00D13265">
            <w:pPr>
              <w:pStyle w:val="IEEEFigureCaptionSingle-Line"/>
              <w:spacing w:before="0" w:after="0"/>
              <w:rPr>
                <w:rFonts w:asciiTheme="majorBidi" w:hAnsiTheme="majorBidi" w:cstheme="majorBidi"/>
                <w:sz w:val="24"/>
              </w:rPr>
            </w:pPr>
            <w:r w:rsidRPr="0023051F">
              <w:rPr>
                <w:rFonts w:asciiTheme="majorBidi" w:hAnsiTheme="majorBidi" w:cstheme="majorBidi"/>
                <w:sz w:val="24"/>
              </w:rPr>
              <w:t>19-24</w:t>
            </w:r>
          </w:p>
        </w:tc>
      </w:tr>
      <w:tr w:rsidR="0023051F" w:rsidRPr="0023051F" w:rsidTr="00A90924">
        <w:trPr>
          <w:cantSplit/>
          <w:trHeight w:val="242"/>
          <w:tblHeader/>
          <w:jc w:val="center"/>
        </w:trPr>
        <w:tc>
          <w:tcPr>
            <w:tcW w:w="158" w:type="dxa"/>
            <w:vMerge w:val="restart"/>
            <w:shd w:val="clear" w:color="auto" w:fill="FFFFFF"/>
            <w:tcMar>
              <w:top w:w="30" w:type="dxa"/>
              <w:left w:w="30" w:type="dxa"/>
              <w:bottom w:w="30" w:type="dxa"/>
              <w:right w:w="30" w:type="dxa"/>
            </w:tcMar>
          </w:tcPr>
          <w:p w:rsidR="0023051F" w:rsidRPr="0023051F" w:rsidRDefault="0023051F" w:rsidP="00D13265">
            <w:pPr>
              <w:pStyle w:val="IEEEParagraph"/>
              <w:ind w:firstLine="215"/>
              <w:rPr>
                <w:rFonts w:asciiTheme="majorBidi" w:hAnsiTheme="majorBidi" w:cstheme="majorBidi"/>
              </w:rPr>
            </w:pPr>
            <w:r w:rsidRPr="0023051F">
              <w:rPr>
                <w:rFonts w:asciiTheme="majorBidi" w:hAnsiTheme="majorBidi" w:cstheme="majorBidi"/>
              </w:rPr>
              <w:t>N</w:t>
            </w:r>
          </w:p>
        </w:tc>
        <w:tc>
          <w:tcPr>
            <w:tcW w:w="2679" w:type="dxa"/>
            <w:shd w:val="clear" w:color="auto" w:fill="FFFFFF"/>
            <w:tcMar>
              <w:top w:w="30" w:type="dxa"/>
              <w:left w:w="30" w:type="dxa"/>
              <w:bottom w:w="30" w:type="dxa"/>
              <w:right w:w="30" w:type="dxa"/>
            </w:tcMar>
          </w:tcPr>
          <w:p w:rsidR="0023051F" w:rsidRPr="0023051F" w:rsidRDefault="0023051F" w:rsidP="00D13265">
            <w:pPr>
              <w:pStyle w:val="IEEEParagraph"/>
              <w:ind w:firstLine="215"/>
              <w:rPr>
                <w:rFonts w:asciiTheme="majorBidi" w:hAnsiTheme="majorBidi" w:cstheme="majorBidi"/>
              </w:rPr>
            </w:pPr>
            <w:r w:rsidRPr="0023051F">
              <w:rPr>
                <w:rFonts w:asciiTheme="majorBidi" w:hAnsiTheme="majorBidi" w:cstheme="majorBidi"/>
              </w:rPr>
              <w:t>Valid</w:t>
            </w:r>
          </w:p>
        </w:tc>
        <w:tc>
          <w:tcPr>
            <w:tcW w:w="1541" w:type="dxa"/>
            <w:shd w:val="clear" w:color="auto" w:fill="FFFFFF"/>
            <w:tcMar>
              <w:top w:w="30" w:type="dxa"/>
              <w:left w:w="30" w:type="dxa"/>
              <w:bottom w:w="30" w:type="dxa"/>
              <w:right w:w="30" w:type="dxa"/>
            </w:tcMar>
            <w:vAlign w:val="center"/>
          </w:tcPr>
          <w:p w:rsidR="0023051F" w:rsidRPr="0023051F" w:rsidRDefault="0023051F" w:rsidP="00D13265">
            <w:pPr>
              <w:pStyle w:val="IEEEFigureCaptionSingle-Line"/>
              <w:spacing w:before="0" w:after="0"/>
              <w:rPr>
                <w:rFonts w:asciiTheme="majorBidi" w:hAnsiTheme="majorBidi" w:cstheme="majorBidi"/>
                <w:sz w:val="24"/>
              </w:rPr>
            </w:pPr>
            <w:r w:rsidRPr="0023051F">
              <w:rPr>
                <w:rFonts w:asciiTheme="majorBidi" w:hAnsiTheme="majorBidi" w:cstheme="majorBidi"/>
                <w:sz w:val="24"/>
              </w:rPr>
              <w:t>25</w:t>
            </w:r>
          </w:p>
        </w:tc>
        <w:tc>
          <w:tcPr>
            <w:tcW w:w="1538" w:type="dxa"/>
            <w:shd w:val="clear" w:color="auto" w:fill="FFFFFF"/>
            <w:tcMar>
              <w:top w:w="30" w:type="dxa"/>
              <w:left w:w="30" w:type="dxa"/>
              <w:bottom w:w="30" w:type="dxa"/>
              <w:right w:w="30" w:type="dxa"/>
            </w:tcMar>
            <w:vAlign w:val="center"/>
          </w:tcPr>
          <w:p w:rsidR="0023051F" w:rsidRPr="0023051F" w:rsidRDefault="0023051F" w:rsidP="00D13265">
            <w:pPr>
              <w:pStyle w:val="IEEEFigureCaptionSingle-Line"/>
              <w:spacing w:before="0" w:after="0"/>
              <w:rPr>
                <w:rFonts w:asciiTheme="majorBidi" w:hAnsiTheme="majorBidi" w:cstheme="majorBidi"/>
                <w:sz w:val="24"/>
              </w:rPr>
            </w:pPr>
            <w:r w:rsidRPr="0023051F">
              <w:rPr>
                <w:rFonts w:asciiTheme="majorBidi" w:hAnsiTheme="majorBidi" w:cstheme="majorBidi"/>
                <w:sz w:val="24"/>
              </w:rPr>
              <w:t>25</w:t>
            </w:r>
          </w:p>
        </w:tc>
        <w:tc>
          <w:tcPr>
            <w:tcW w:w="1542" w:type="dxa"/>
            <w:shd w:val="clear" w:color="auto" w:fill="FFFFFF"/>
            <w:tcMar>
              <w:top w:w="30" w:type="dxa"/>
              <w:left w:w="30" w:type="dxa"/>
              <w:bottom w:w="30" w:type="dxa"/>
              <w:right w:w="30" w:type="dxa"/>
            </w:tcMar>
            <w:vAlign w:val="center"/>
          </w:tcPr>
          <w:p w:rsidR="0023051F" w:rsidRPr="0023051F" w:rsidRDefault="0023051F" w:rsidP="00D13265">
            <w:pPr>
              <w:pStyle w:val="IEEEFigureCaptionSingle-Line"/>
              <w:spacing w:before="0" w:after="0"/>
              <w:rPr>
                <w:rFonts w:asciiTheme="majorBidi" w:hAnsiTheme="majorBidi" w:cstheme="majorBidi"/>
                <w:sz w:val="24"/>
              </w:rPr>
            </w:pPr>
            <w:r w:rsidRPr="0023051F">
              <w:rPr>
                <w:rFonts w:asciiTheme="majorBidi" w:hAnsiTheme="majorBidi" w:cstheme="majorBidi"/>
                <w:sz w:val="24"/>
              </w:rPr>
              <w:t>25</w:t>
            </w:r>
          </w:p>
        </w:tc>
        <w:tc>
          <w:tcPr>
            <w:tcW w:w="1541" w:type="dxa"/>
            <w:shd w:val="clear" w:color="auto" w:fill="FFFFFF"/>
            <w:tcMar>
              <w:top w:w="30" w:type="dxa"/>
              <w:left w:w="30" w:type="dxa"/>
              <w:bottom w:w="30" w:type="dxa"/>
              <w:right w:w="30" w:type="dxa"/>
            </w:tcMar>
            <w:vAlign w:val="center"/>
          </w:tcPr>
          <w:p w:rsidR="0023051F" w:rsidRPr="0023051F" w:rsidRDefault="0023051F" w:rsidP="00D13265">
            <w:pPr>
              <w:pStyle w:val="IEEEFigureCaptionSingle-Line"/>
              <w:spacing w:before="0" w:after="0"/>
              <w:rPr>
                <w:rFonts w:asciiTheme="majorBidi" w:hAnsiTheme="majorBidi" w:cstheme="majorBidi"/>
                <w:sz w:val="24"/>
              </w:rPr>
            </w:pPr>
            <w:r w:rsidRPr="0023051F">
              <w:rPr>
                <w:rFonts w:asciiTheme="majorBidi" w:hAnsiTheme="majorBidi" w:cstheme="majorBidi"/>
                <w:sz w:val="24"/>
              </w:rPr>
              <w:t>25</w:t>
            </w:r>
          </w:p>
        </w:tc>
      </w:tr>
      <w:tr w:rsidR="0023051F" w:rsidRPr="0023051F" w:rsidTr="00A90924">
        <w:trPr>
          <w:cantSplit/>
          <w:trHeight w:val="101"/>
          <w:tblHeader/>
          <w:jc w:val="center"/>
        </w:trPr>
        <w:tc>
          <w:tcPr>
            <w:tcW w:w="158" w:type="dxa"/>
            <w:vMerge/>
            <w:shd w:val="clear" w:color="auto" w:fill="FFFFFF"/>
            <w:tcMar>
              <w:top w:w="30" w:type="dxa"/>
              <w:left w:w="30" w:type="dxa"/>
              <w:bottom w:w="30" w:type="dxa"/>
              <w:right w:w="30" w:type="dxa"/>
            </w:tcMar>
          </w:tcPr>
          <w:p w:rsidR="0023051F" w:rsidRPr="0023051F" w:rsidRDefault="0023051F" w:rsidP="00D13265">
            <w:pPr>
              <w:pStyle w:val="IEEEParagraph"/>
              <w:ind w:firstLine="215"/>
              <w:rPr>
                <w:rFonts w:asciiTheme="majorBidi" w:hAnsiTheme="majorBidi" w:cstheme="majorBidi"/>
              </w:rPr>
            </w:pPr>
          </w:p>
        </w:tc>
        <w:tc>
          <w:tcPr>
            <w:tcW w:w="2679" w:type="dxa"/>
            <w:shd w:val="clear" w:color="auto" w:fill="FFFFFF"/>
            <w:tcMar>
              <w:top w:w="30" w:type="dxa"/>
              <w:left w:w="30" w:type="dxa"/>
              <w:bottom w:w="30" w:type="dxa"/>
              <w:right w:w="30" w:type="dxa"/>
            </w:tcMar>
          </w:tcPr>
          <w:p w:rsidR="0023051F" w:rsidRPr="0023051F" w:rsidRDefault="0023051F" w:rsidP="00D13265">
            <w:pPr>
              <w:pStyle w:val="IEEEParagraph"/>
              <w:ind w:firstLine="215"/>
              <w:rPr>
                <w:rFonts w:asciiTheme="majorBidi" w:hAnsiTheme="majorBidi" w:cstheme="majorBidi"/>
              </w:rPr>
            </w:pPr>
            <w:r w:rsidRPr="0023051F">
              <w:rPr>
                <w:rFonts w:asciiTheme="majorBidi" w:hAnsiTheme="majorBidi" w:cstheme="majorBidi"/>
              </w:rPr>
              <w:t>Missing</w:t>
            </w:r>
          </w:p>
        </w:tc>
        <w:tc>
          <w:tcPr>
            <w:tcW w:w="1541" w:type="dxa"/>
            <w:shd w:val="clear" w:color="auto" w:fill="FFFFFF"/>
            <w:tcMar>
              <w:top w:w="30" w:type="dxa"/>
              <w:left w:w="30" w:type="dxa"/>
              <w:bottom w:w="30" w:type="dxa"/>
              <w:right w:w="30" w:type="dxa"/>
            </w:tcMar>
            <w:vAlign w:val="center"/>
          </w:tcPr>
          <w:p w:rsidR="0023051F" w:rsidRPr="0023051F" w:rsidRDefault="0023051F" w:rsidP="00D13265">
            <w:pPr>
              <w:pStyle w:val="IEEEFigureCaptionSingle-Line"/>
              <w:spacing w:before="0" w:after="0"/>
              <w:rPr>
                <w:rFonts w:asciiTheme="majorBidi" w:hAnsiTheme="majorBidi" w:cstheme="majorBidi"/>
                <w:sz w:val="24"/>
              </w:rPr>
            </w:pPr>
            <w:r w:rsidRPr="0023051F">
              <w:rPr>
                <w:rFonts w:asciiTheme="majorBidi" w:hAnsiTheme="majorBidi" w:cstheme="majorBidi"/>
                <w:sz w:val="24"/>
              </w:rPr>
              <w:t>0</w:t>
            </w:r>
          </w:p>
        </w:tc>
        <w:tc>
          <w:tcPr>
            <w:tcW w:w="1538" w:type="dxa"/>
            <w:shd w:val="clear" w:color="auto" w:fill="FFFFFF"/>
            <w:tcMar>
              <w:top w:w="30" w:type="dxa"/>
              <w:left w:w="30" w:type="dxa"/>
              <w:bottom w:w="30" w:type="dxa"/>
              <w:right w:w="30" w:type="dxa"/>
            </w:tcMar>
            <w:vAlign w:val="center"/>
          </w:tcPr>
          <w:p w:rsidR="0023051F" w:rsidRPr="0023051F" w:rsidRDefault="0023051F" w:rsidP="00D13265">
            <w:pPr>
              <w:pStyle w:val="IEEEFigureCaptionSingle-Line"/>
              <w:spacing w:before="0" w:after="0"/>
              <w:rPr>
                <w:rFonts w:asciiTheme="majorBidi" w:hAnsiTheme="majorBidi" w:cstheme="majorBidi"/>
                <w:sz w:val="24"/>
              </w:rPr>
            </w:pPr>
            <w:r w:rsidRPr="0023051F">
              <w:rPr>
                <w:rFonts w:asciiTheme="majorBidi" w:hAnsiTheme="majorBidi" w:cstheme="majorBidi"/>
                <w:sz w:val="24"/>
              </w:rPr>
              <w:t>0</w:t>
            </w:r>
          </w:p>
        </w:tc>
        <w:tc>
          <w:tcPr>
            <w:tcW w:w="1542" w:type="dxa"/>
            <w:shd w:val="clear" w:color="auto" w:fill="FFFFFF"/>
            <w:tcMar>
              <w:top w:w="30" w:type="dxa"/>
              <w:left w:w="30" w:type="dxa"/>
              <w:bottom w:w="30" w:type="dxa"/>
              <w:right w:w="30" w:type="dxa"/>
            </w:tcMar>
            <w:vAlign w:val="center"/>
          </w:tcPr>
          <w:p w:rsidR="0023051F" w:rsidRPr="0023051F" w:rsidRDefault="0023051F" w:rsidP="00D13265">
            <w:pPr>
              <w:pStyle w:val="IEEEFigureCaptionSingle-Line"/>
              <w:spacing w:before="0" w:after="0"/>
              <w:rPr>
                <w:rFonts w:asciiTheme="majorBidi" w:hAnsiTheme="majorBidi" w:cstheme="majorBidi"/>
                <w:sz w:val="24"/>
              </w:rPr>
            </w:pPr>
            <w:r w:rsidRPr="0023051F">
              <w:rPr>
                <w:rFonts w:asciiTheme="majorBidi" w:hAnsiTheme="majorBidi" w:cstheme="majorBidi"/>
                <w:sz w:val="24"/>
              </w:rPr>
              <w:t>0</w:t>
            </w:r>
          </w:p>
        </w:tc>
        <w:tc>
          <w:tcPr>
            <w:tcW w:w="1541" w:type="dxa"/>
            <w:shd w:val="clear" w:color="auto" w:fill="FFFFFF"/>
            <w:tcMar>
              <w:top w:w="30" w:type="dxa"/>
              <w:left w:w="30" w:type="dxa"/>
              <w:bottom w:w="30" w:type="dxa"/>
              <w:right w:w="30" w:type="dxa"/>
            </w:tcMar>
            <w:vAlign w:val="center"/>
          </w:tcPr>
          <w:p w:rsidR="0023051F" w:rsidRPr="0023051F" w:rsidRDefault="0023051F" w:rsidP="00D13265">
            <w:pPr>
              <w:pStyle w:val="IEEEFigureCaptionSingle-Line"/>
              <w:spacing w:before="0" w:after="0"/>
              <w:rPr>
                <w:rFonts w:asciiTheme="majorBidi" w:hAnsiTheme="majorBidi" w:cstheme="majorBidi"/>
                <w:sz w:val="24"/>
              </w:rPr>
            </w:pPr>
            <w:r w:rsidRPr="0023051F">
              <w:rPr>
                <w:rFonts w:asciiTheme="majorBidi" w:hAnsiTheme="majorBidi" w:cstheme="majorBidi"/>
                <w:sz w:val="24"/>
              </w:rPr>
              <w:t>0</w:t>
            </w:r>
          </w:p>
        </w:tc>
      </w:tr>
      <w:tr w:rsidR="0023051F" w:rsidRPr="0023051F" w:rsidTr="00A90924">
        <w:trPr>
          <w:cantSplit/>
          <w:trHeight w:val="221"/>
          <w:tblHeader/>
          <w:jc w:val="center"/>
        </w:trPr>
        <w:tc>
          <w:tcPr>
            <w:tcW w:w="2837" w:type="dxa"/>
            <w:gridSpan w:val="2"/>
            <w:shd w:val="clear" w:color="auto" w:fill="FFFFFF"/>
            <w:tcMar>
              <w:top w:w="30" w:type="dxa"/>
              <w:left w:w="30" w:type="dxa"/>
              <w:bottom w:w="30" w:type="dxa"/>
              <w:right w:w="30" w:type="dxa"/>
            </w:tcMar>
          </w:tcPr>
          <w:p w:rsidR="0023051F" w:rsidRPr="0023051F" w:rsidRDefault="0023051F" w:rsidP="00D13265">
            <w:pPr>
              <w:pStyle w:val="IEEEParagraph"/>
              <w:ind w:firstLine="215"/>
              <w:rPr>
                <w:rFonts w:asciiTheme="majorBidi" w:hAnsiTheme="majorBidi" w:cstheme="majorBidi"/>
              </w:rPr>
            </w:pPr>
            <w:r w:rsidRPr="0023051F">
              <w:rPr>
                <w:rFonts w:asciiTheme="majorBidi" w:hAnsiTheme="majorBidi" w:cstheme="majorBidi"/>
              </w:rPr>
              <w:t>Mean</w:t>
            </w:r>
          </w:p>
        </w:tc>
        <w:tc>
          <w:tcPr>
            <w:tcW w:w="1541" w:type="dxa"/>
            <w:shd w:val="clear" w:color="auto" w:fill="FFFFFF"/>
            <w:tcMar>
              <w:top w:w="30" w:type="dxa"/>
              <w:left w:w="30" w:type="dxa"/>
              <w:bottom w:w="30" w:type="dxa"/>
              <w:right w:w="30" w:type="dxa"/>
            </w:tcMar>
            <w:vAlign w:val="center"/>
          </w:tcPr>
          <w:p w:rsidR="0023051F" w:rsidRPr="0023051F" w:rsidRDefault="0023051F" w:rsidP="00D13265">
            <w:pPr>
              <w:pStyle w:val="IEEEFigureCaptionSingle-Line"/>
              <w:spacing w:before="0" w:after="0"/>
              <w:rPr>
                <w:rFonts w:asciiTheme="majorBidi" w:hAnsiTheme="majorBidi" w:cstheme="majorBidi"/>
                <w:sz w:val="24"/>
              </w:rPr>
            </w:pPr>
            <w:r w:rsidRPr="0023051F">
              <w:rPr>
                <w:rFonts w:asciiTheme="majorBidi" w:hAnsiTheme="majorBidi" w:cstheme="majorBidi"/>
                <w:sz w:val="24"/>
              </w:rPr>
              <w:t>96.9146</w:t>
            </w:r>
          </w:p>
        </w:tc>
        <w:tc>
          <w:tcPr>
            <w:tcW w:w="1538" w:type="dxa"/>
            <w:shd w:val="clear" w:color="auto" w:fill="FFFFFF"/>
            <w:tcMar>
              <w:top w:w="30" w:type="dxa"/>
              <w:left w:w="30" w:type="dxa"/>
              <w:bottom w:w="30" w:type="dxa"/>
              <w:right w:w="30" w:type="dxa"/>
            </w:tcMar>
            <w:vAlign w:val="center"/>
          </w:tcPr>
          <w:p w:rsidR="0023051F" w:rsidRPr="0023051F" w:rsidRDefault="0023051F" w:rsidP="00D13265">
            <w:pPr>
              <w:pStyle w:val="IEEEFigureCaptionSingle-Line"/>
              <w:spacing w:before="0" w:after="0"/>
              <w:rPr>
                <w:rFonts w:asciiTheme="majorBidi" w:hAnsiTheme="majorBidi" w:cstheme="majorBidi"/>
                <w:sz w:val="24"/>
              </w:rPr>
            </w:pPr>
            <w:r w:rsidRPr="0023051F">
              <w:rPr>
                <w:rFonts w:asciiTheme="majorBidi" w:hAnsiTheme="majorBidi" w:cstheme="majorBidi"/>
                <w:sz w:val="24"/>
              </w:rPr>
              <w:t>84.3073</w:t>
            </w:r>
          </w:p>
        </w:tc>
        <w:tc>
          <w:tcPr>
            <w:tcW w:w="1542" w:type="dxa"/>
            <w:shd w:val="clear" w:color="auto" w:fill="FFFFFF"/>
            <w:tcMar>
              <w:top w:w="30" w:type="dxa"/>
              <w:left w:w="30" w:type="dxa"/>
              <w:bottom w:w="30" w:type="dxa"/>
              <w:right w:w="30" w:type="dxa"/>
            </w:tcMar>
            <w:vAlign w:val="center"/>
          </w:tcPr>
          <w:p w:rsidR="0023051F" w:rsidRPr="0023051F" w:rsidRDefault="0023051F" w:rsidP="00D13265">
            <w:pPr>
              <w:pStyle w:val="IEEEFigureCaptionSingle-Line"/>
              <w:spacing w:before="0" w:after="0"/>
              <w:rPr>
                <w:rFonts w:asciiTheme="majorBidi" w:hAnsiTheme="majorBidi" w:cstheme="majorBidi"/>
                <w:sz w:val="24"/>
              </w:rPr>
            </w:pPr>
            <w:r w:rsidRPr="0023051F">
              <w:rPr>
                <w:rFonts w:asciiTheme="majorBidi" w:hAnsiTheme="majorBidi" w:cstheme="majorBidi"/>
                <w:sz w:val="24"/>
              </w:rPr>
              <w:t>56.2346</w:t>
            </w:r>
          </w:p>
        </w:tc>
        <w:tc>
          <w:tcPr>
            <w:tcW w:w="1541" w:type="dxa"/>
            <w:shd w:val="clear" w:color="auto" w:fill="FFFFFF"/>
            <w:tcMar>
              <w:top w:w="30" w:type="dxa"/>
              <w:left w:w="30" w:type="dxa"/>
              <w:bottom w:w="30" w:type="dxa"/>
              <w:right w:w="30" w:type="dxa"/>
            </w:tcMar>
            <w:vAlign w:val="center"/>
          </w:tcPr>
          <w:p w:rsidR="0023051F" w:rsidRPr="0023051F" w:rsidRDefault="0023051F" w:rsidP="00D13265">
            <w:pPr>
              <w:pStyle w:val="IEEEFigureCaptionSingle-Line"/>
              <w:spacing w:before="0" w:after="0"/>
              <w:rPr>
                <w:rFonts w:asciiTheme="majorBidi" w:hAnsiTheme="majorBidi" w:cstheme="majorBidi"/>
                <w:sz w:val="24"/>
              </w:rPr>
            </w:pPr>
            <w:r w:rsidRPr="0023051F">
              <w:rPr>
                <w:rFonts w:asciiTheme="majorBidi" w:hAnsiTheme="majorBidi" w:cstheme="majorBidi"/>
                <w:sz w:val="24"/>
              </w:rPr>
              <w:t>15.0214</w:t>
            </w:r>
          </w:p>
        </w:tc>
      </w:tr>
      <w:tr w:rsidR="0023051F" w:rsidRPr="0023051F" w:rsidTr="00A90924">
        <w:trPr>
          <w:cantSplit/>
          <w:trHeight w:val="232"/>
          <w:tblHeader/>
          <w:jc w:val="center"/>
        </w:trPr>
        <w:tc>
          <w:tcPr>
            <w:tcW w:w="2837" w:type="dxa"/>
            <w:gridSpan w:val="2"/>
            <w:shd w:val="clear" w:color="auto" w:fill="FFFFFF"/>
            <w:tcMar>
              <w:top w:w="30" w:type="dxa"/>
              <w:left w:w="30" w:type="dxa"/>
              <w:bottom w:w="30" w:type="dxa"/>
              <w:right w:w="30" w:type="dxa"/>
            </w:tcMar>
          </w:tcPr>
          <w:p w:rsidR="0023051F" w:rsidRPr="0023051F" w:rsidRDefault="0023051F" w:rsidP="00D13265">
            <w:pPr>
              <w:pStyle w:val="IEEEParagraph"/>
              <w:ind w:firstLine="215"/>
              <w:rPr>
                <w:rFonts w:asciiTheme="majorBidi" w:hAnsiTheme="majorBidi" w:cstheme="majorBidi"/>
              </w:rPr>
            </w:pPr>
            <w:r w:rsidRPr="0023051F">
              <w:rPr>
                <w:rFonts w:asciiTheme="majorBidi" w:hAnsiTheme="majorBidi" w:cstheme="majorBidi"/>
              </w:rPr>
              <w:t>Std. Error of Mean</w:t>
            </w:r>
          </w:p>
        </w:tc>
        <w:tc>
          <w:tcPr>
            <w:tcW w:w="1541" w:type="dxa"/>
            <w:shd w:val="clear" w:color="auto" w:fill="FFFFFF"/>
            <w:tcMar>
              <w:top w:w="30" w:type="dxa"/>
              <w:left w:w="30" w:type="dxa"/>
              <w:bottom w:w="30" w:type="dxa"/>
              <w:right w:w="30" w:type="dxa"/>
            </w:tcMar>
            <w:vAlign w:val="center"/>
          </w:tcPr>
          <w:p w:rsidR="0023051F" w:rsidRPr="0023051F" w:rsidRDefault="0023051F" w:rsidP="00D13265">
            <w:pPr>
              <w:pStyle w:val="IEEEFigureCaptionSingle-Line"/>
              <w:spacing w:before="0" w:after="0"/>
              <w:rPr>
                <w:rFonts w:asciiTheme="majorBidi" w:hAnsiTheme="majorBidi" w:cstheme="majorBidi"/>
                <w:sz w:val="24"/>
              </w:rPr>
            </w:pPr>
            <w:r w:rsidRPr="0023051F">
              <w:rPr>
                <w:rFonts w:asciiTheme="majorBidi" w:hAnsiTheme="majorBidi" w:cstheme="majorBidi"/>
                <w:sz w:val="24"/>
              </w:rPr>
              <w:t>.32541</w:t>
            </w:r>
          </w:p>
        </w:tc>
        <w:tc>
          <w:tcPr>
            <w:tcW w:w="1538" w:type="dxa"/>
            <w:shd w:val="clear" w:color="auto" w:fill="FFFFFF"/>
            <w:tcMar>
              <w:top w:w="30" w:type="dxa"/>
              <w:left w:w="30" w:type="dxa"/>
              <w:bottom w:w="30" w:type="dxa"/>
              <w:right w:w="30" w:type="dxa"/>
            </w:tcMar>
            <w:vAlign w:val="center"/>
          </w:tcPr>
          <w:p w:rsidR="0023051F" w:rsidRPr="0023051F" w:rsidRDefault="0023051F" w:rsidP="00D13265">
            <w:pPr>
              <w:pStyle w:val="IEEEFigureCaptionSingle-Line"/>
              <w:spacing w:before="0" w:after="0"/>
              <w:rPr>
                <w:rFonts w:asciiTheme="majorBidi" w:hAnsiTheme="majorBidi" w:cstheme="majorBidi"/>
                <w:sz w:val="24"/>
              </w:rPr>
            </w:pPr>
            <w:r w:rsidRPr="0023051F">
              <w:rPr>
                <w:rFonts w:asciiTheme="majorBidi" w:hAnsiTheme="majorBidi" w:cstheme="majorBidi"/>
                <w:sz w:val="24"/>
              </w:rPr>
              <w:t>1.39849</w:t>
            </w:r>
          </w:p>
        </w:tc>
        <w:tc>
          <w:tcPr>
            <w:tcW w:w="1542" w:type="dxa"/>
            <w:shd w:val="clear" w:color="auto" w:fill="FFFFFF"/>
            <w:tcMar>
              <w:top w:w="30" w:type="dxa"/>
              <w:left w:w="30" w:type="dxa"/>
              <w:bottom w:w="30" w:type="dxa"/>
              <w:right w:w="30" w:type="dxa"/>
            </w:tcMar>
            <w:vAlign w:val="center"/>
          </w:tcPr>
          <w:p w:rsidR="0023051F" w:rsidRPr="0023051F" w:rsidRDefault="0023051F" w:rsidP="00D13265">
            <w:pPr>
              <w:pStyle w:val="IEEEFigureCaptionSingle-Line"/>
              <w:spacing w:before="0" w:after="0"/>
              <w:rPr>
                <w:rFonts w:asciiTheme="majorBidi" w:hAnsiTheme="majorBidi" w:cstheme="majorBidi"/>
                <w:sz w:val="24"/>
              </w:rPr>
            </w:pPr>
            <w:r w:rsidRPr="0023051F">
              <w:rPr>
                <w:rFonts w:asciiTheme="majorBidi" w:hAnsiTheme="majorBidi" w:cstheme="majorBidi"/>
                <w:sz w:val="24"/>
              </w:rPr>
              <w:t>1.72162</w:t>
            </w:r>
          </w:p>
        </w:tc>
        <w:tc>
          <w:tcPr>
            <w:tcW w:w="1541" w:type="dxa"/>
            <w:shd w:val="clear" w:color="auto" w:fill="FFFFFF"/>
            <w:tcMar>
              <w:top w:w="30" w:type="dxa"/>
              <w:left w:w="30" w:type="dxa"/>
              <w:bottom w:w="30" w:type="dxa"/>
              <w:right w:w="30" w:type="dxa"/>
            </w:tcMar>
            <w:vAlign w:val="center"/>
          </w:tcPr>
          <w:p w:rsidR="0023051F" w:rsidRPr="0023051F" w:rsidRDefault="0023051F" w:rsidP="00D13265">
            <w:pPr>
              <w:pStyle w:val="IEEEFigureCaptionSingle-Line"/>
              <w:spacing w:before="0" w:after="0"/>
              <w:rPr>
                <w:rFonts w:asciiTheme="majorBidi" w:hAnsiTheme="majorBidi" w:cstheme="majorBidi"/>
                <w:sz w:val="24"/>
              </w:rPr>
            </w:pPr>
            <w:r w:rsidRPr="0023051F">
              <w:rPr>
                <w:rFonts w:asciiTheme="majorBidi" w:hAnsiTheme="majorBidi" w:cstheme="majorBidi"/>
                <w:sz w:val="24"/>
              </w:rPr>
              <w:t>.95378</w:t>
            </w:r>
          </w:p>
        </w:tc>
      </w:tr>
      <w:tr w:rsidR="0023051F" w:rsidRPr="0023051F" w:rsidTr="00A90924">
        <w:trPr>
          <w:cantSplit/>
          <w:trHeight w:val="221"/>
          <w:tblHeader/>
          <w:jc w:val="center"/>
        </w:trPr>
        <w:tc>
          <w:tcPr>
            <w:tcW w:w="2837" w:type="dxa"/>
            <w:gridSpan w:val="2"/>
            <w:shd w:val="clear" w:color="auto" w:fill="FFFFFF"/>
            <w:tcMar>
              <w:top w:w="30" w:type="dxa"/>
              <w:left w:w="30" w:type="dxa"/>
              <w:bottom w:w="30" w:type="dxa"/>
              <w:right w:w="30" w:type="dxa"/>
            </w:tcMar>
          </w:tcPr>
          <w:p w:rsidR="0023051F" w:rsidRPr="0023051F" w:rsidRDefault="0023051F" w:rsidP="00D13265">
            <w:pPr>
              <w:pStyle w:val="IEEEParagraph"/>
              <w:ind w:firstLine="215"/>
              <w:rPr>
                <w:rFonts w:asciiTheme="majorBidi" w:hAnsiTheme="majorBidi" w:cstheme="majorBidi"/>
              </w:rPr>
            </w:pPr>
            <w:r w:rsidRPr="0023051F">
              <w:rPr>
                <w:rFonts w:asciiTheme="majorBidi" w:hAnsiTheme="majorBidi" w:cstheme="majorBidi"/>
              </w:rPr>
              <w:t>Median</w:t>
            </w:r>
          </w:p>
        </w:tc>
        <w:tc>
          <w:tcPr>
            <w:tcW w:w="1541" w:type="dxa"/>
            <w:shd w:val="clear" w:color="auto" w:fill="FFFFFF"/>
            <w:tcMar>
              <w:top w:w="30" w:type="dxa"/>
              <w:left w:w="30" w:type="dxa"/>
              <w:bottom w:w="30" w:type="dxa"/>
              <w:right w:w="30" w:type="dxa"/>
            </w:tcMar>
            <w:vAlign w:val="center"/>
          </w:tcPr>
          <w:p w:rsidR="0023051F" w:rsidRPr="0023051F" w:rsidRDefault="0023051F" w:rsidP="00D13265">
            <w:pPr>
              <w:pStyle w:val="IEEEFigureCaptionSingle-Line"/>
              <w:spacing w:before="0" w:after="0"/>
              <w:rPr>
                <w:rFonts w:asciiTheme="majorBidi" w:hAnsiTheme="majorBidi" w:cstheme="majorBidi"/>
                <w:sz w:val="24"/>
              </w:rPr>
            </w:pPr>
            <w:r w:rsidRPr="0023051F">
              <w:rPr>
                <w:rFonts w:asciiTheme="majorBidi" w:hAnsiTheme="majorBidi" w:cstheme="majorBidi"/>
                <w:sz w:val="24"/>
              </w:rPr>
              <w:t>97.3900</w:t>
            </w:r>
          </w:p>
        </w:tc>
        <w:tc>
          <w:tcPr>
            <w:tcW w:w="1538" w:type="dxa"/>
            <w:shd w:val="clear" w:color="auto" w:fill="FFFFFF"/>
            <w:tcMar>
              <w:top w:w="30" w:type="dxa"/>
              <w:left w:w="30" w:type="dxa"/>
              <w:bottom w:w="30" w:type="dxa"/>
              <w:right w:w="30" w:type="dxa"/>
            </w:tcMar>
            <w:vAlign w:val="center"/>
          </w:tcPr>
          <w:p w:rsidR="0023051F" w:rsidRPr="0023051F" w:rsidRDefault="0023051F" w:rsidP="00D13265">
            <w:pPr>
              <w:pStyle w:val="IEEEFigureCaptionSingle-Line"/>
              <w:spacing w:before="0" w:after="0"/>
              <w:rPr>
                <w:rFonts w:asciiTheme="majorBidi" w:hAnsiTheme="majorBidi" w:cstheme="majorBidi"/>
                <w:sz w:val="24"/>
              </w:rPr>
            </w:pPr>
            <w:r w:rsidRPr="0023051F">
              <w:rPr>
                <w:rFonts w:asciiTheme="majorBidi" w:hAnsiTheme="majorBidi" w:cstheme="majorBidi"/>
                <w:sz w:val="24"/>
              </w:rPr>
              <w:t>84.0800</w:t>
            </w:r>
          </w:p>
        </w:tc>
        <w:tc>
          <w:tcPr>
            <w:tcW w:w="1542" w:type="dxa"/>
            <w:shd w:val="clear" w:color="auto" w:fill="FFFFFF"/>
            <w:tcMar>
              <w:top w:w="30" w:type="dxa"/>
              <w:left w:w="30" w:type="dxa"/>
              <w:bottom w:w="30" w:type="dxa"/>
              <w:right w:w="30" w:type="dxa"/>
            </w:tcMar>
            <w:vAlign w:val="center"/>
          </w:tcPr>
          <w:p w:rsidR="0023051F" w:rsidRPr="0023051F" w:rsidRDefault="0023051F" w:rsidP="00D13265">
            <w:pPr>
              <w:pStyle w:val="IEEEFigureCaptionSingle-Line"/>
              <w:spacing w:before="0" w:after="0"/>
              <w:rPr>
                <w:rFonts w:asciiTheme="majorBidi" w:hAnsiTheme="majorBidi" w:cstheme="majorBidi"/>
                <w:sz w:val="24"/>
              </w:rPr>
            </w:pPr>
            <w:r w:rsidRPr="0023051F">
              <w:rPr>
                <w:rFonts w:asciiTheme="majorBidi" w:hAnsiTheme="majorBidi" w:cstheme="majorBidi"/>
                <w:sz w:val="24"/>
              </w:rPr>
              <w:t>53.9200</w:t>
            </w:r>
          </w:p>
        </w:tc>
        <w:tc>
          <w:tcPr>
            <w:tcW w:w="1541" w:type="dxa"/>
            <w:shd w:val="clear" w:color="auto" w:fill="FFFFFF"/>
            <w:tcMar>
              <w:top w:w="30" w:type="dxa"/>
              <w:left w:w="30" w:type="dxa"/>
              <w:bottom w:w="30" w:type="dxa"/>
              <w:right w:w="30" w:type="dxa"/>
            </w:tcMar>
            <w:vAlign w:val="center"/>
          </w:tcPr>
          <w:p w:rsidR="0023051F" w:rsidRPr="0023051F" w:rsidRDefault="0023051F" w:rsidP="00D13265">
            <w:pPr>
              <w:pStyle w:val="IEEEFigureCaptionSingle-Line"/>
              <w:spacing w:before="0" w:after="0"/>
              <w:rPr>
                <w:rFonts w:asciiTheme="majorBidi" w:hAnsiTheme="majorBidi" w:cstheme="majorBidi"/>
                <w:sz w:val="24"/>
              </w:rPr>
            </w:pPr>
            <w:r w:rsidRPr="0023051F">
              <w:rPr>
                <w:rFonts w:asciiTheme="majorBidi" w:hAnsiTheme="majorBidi" w:cstheme="majorBidi"/>
                <w:sz w:val="24"/>
              </w:rPr>
              <w:t>12.4300</w:t>
            </w:r>
          </w:p>
        </w:tc>
      </w:tr>
      <w:tr w:rsidR="0023051F" w:rsidRPr="0023051F" w:rsidTr="00A90924">
        <w:trPr>
          <w:cantSplit/>
          <w:trHeight w:val="221"/>
          <w:tblHeader/>
          <w:jc w:val="center"/>
        </w:trPr>
        <w:tc>
          <w:tcPr>
            <w:tcW w:w="2837" w:type="dxa"/>
            <w:gridSpan w:val="2"/>
            <w:shd w:val="clear" w:color="auto" w:fill="FFFFFF"/>
            <w:tcMar>
              <w:top w:w="30" w:type="dxa"/>
              <w:left w:w="30" w:type="dxa"/>
              <w:bottom w:w="30" w:type="dxa"/>
              <w:right w:w="30" w:type="dxa"/>
            </w:tcMar>
          </w:tcPr>
          <w:p w:rsidR="0023051F" w:rsidRPr="0023051F" w:rsidRDefault="0023051F" w:rsidP="00D13265">
            <w:pPr>
              <w:pStyle w:val="IEEEParagraph"/>
              <w:ind w:firstLine="215"/>
              <w:rPr>
                <w:rFonts w:asciiTheme="majorBidi" w:hAnsiTheme="majorBidi" w:cstheme="majorBidi"/>
              </w:rPr>
            </w:pPr>
            <w:r w:rsidRPr="0023051F">
              <w:rPr>
                <w:rFonts w:asciiTheme="majorBidi" w:hAnsiTheme="majorBidi" w:cstheme="majorBidi"/>
              </w:rPr>
              <w:t>Mode</w:t>
            </w:r>
          </w:p>
        </w:tc>
        <w:tc>
          <w:tcPr>
            <w:tcW w:w="1541" w:type="dxa"/>
            <w:shd w:val="clear" w:color="auto" w:fill="FFFFFF"/>
            <w:tcMar>
              <w:top w:w="30" w:type="dxa"/>
              <w:left w:w="30" w:type="dxa"/>
              <w:bottom w:w="30" w:type="dxa"/>
              <w:right w:w="30" w:type="dxa"/>
            </w:tcMar>
            <w:vAlign w:val="center"/>
          </w:tcPr>
          <w:p w:rsidR="0023051F" w:rsidRPr="0023051F" w:rsidRDefault="0023051F" w:rsidP="00D13265">
            <w:pPr>
              <w:pStyle w:val="IEEEFigureCaptionSingle-Line"/>
              <w:spacing w:before="0" w:after="0"/>
              <w:rPr>
                <w:rFonts w:asciiTheme="majorBidi" w:hAnsiTheme="majorBidi" w:cstheme="majorBidi"/>
                <w:sz w:val="24"/>
              </w:rPr>
            </w:pPr>
            <w:r w:rsidRPr="0023051F">
              <w:rPr>
                <w:rFonts w:asciiTheme="majorBidi" w:hAnsiTheme="majorBidi" w:cstheme="majorBidi"/>
                <w:sz w:val="24"/>
              </w:rPr>
              <w:t>93.94</w:t>
            </w:r>
            <w:r w:rsidRPr="0023051F">
              <w:rPr>
                <w:rFonts w:asciiTheme="majorBidi" w:hAnsiTheme="majorBidi" w:cstheme="majorBidi"/>
                <w:sz w:val="24"/>
                <w:vertAlign w:val="superscript"/>
              </w:rPr>
              <w:t>a</w:t>
            </w:r>
          </w:p>
        </w:tc>
        <w:tc>
          <w:tcPr>
            <w:tcW w:w="1538" w:type="dxa"/>
            <w:shd w:val="clear" w:color="auto" w:fill="FFFFFF"/>
            <w:tcMar>
              <w:top w:w="30" w:type="dxa"/>
              <w:left w:w="30" w:type="dxa"/>
              <w:bottom w:w="30" w:type="dxa"/>
              <w:right w:w="30" w:type="dxa"/>
            </w:tcMar>
            <w:vAlign w:val="center"/>
          </w:tcPr>
          <w:p w:rsidR="0023051F" w:rsidRPr="0023051F" w:rsidRDefault="0023051F" w:rsidP="00D13265">
            <w:pPr>
              <w:pStyle w:val="IEEEFigureCaptionSingle-Line"/>
              <w:spacing w:before="0" w:after="0"/>
              <w:rPr>
                <w:rFonts w:asciiTheme="majorBidi" w:hAnsiTheme="majorBidi" w:cstheme="majorBidi"/>
                <w:sz w:val="24"/>
              </w:rPr>
            </w:pPr>
            <w:r w:rsidRPr="0023051F">
              <w:rPr>
                <w:rFonts w:asciiTheme="majorBidi" w:hAnsiTheme="majorBidi" w:cstheme="majorBidi"/>
                <w:sz w:val="24"/>
              </w:rPr>
              <w:t>72.39</w:t>
            </w:r>
            <w:r w:rsidRPr="0023051F">
              <w:rPr>
                <w:rFonts w:asciiTheme="majorBidi" w:hAnsiTheme="majorBidi" w:cstheme="majorBidi"/>
                <w:sz w:val="24"/>
                <w:vertAlign w:val="superscript"/>
              </w:rPr>
              <w:t>a</w:t>
            </w:r>
          </w:p>
        </w:tc>
        <w:tc>
          <w:tcPr>
            <w:tcW w:w="1542" w:type="dxa"/>
            <w:shd w:val="clear" w:color="auto" w:fill="FFFFFF"/>
            <w:tcMar>
              <w:top w:w="30" w:type="dxa"/>
              <w:left w:w="30" w:type="dxa"/>
              <w:bottom w:w="30" w:type="dxa"/>
              <w:right w:w="30" w:type="dxa"/>
            </w:tcMar>
            <w:vAlign w:val="center"/>
          </w:tcPr>
          <w:p w:rsidR="0023051F" w:rsidRPr="0023051F" w:rsidRDefault="0023051F" w:rsidP="00D13265">
            <w:pPr>
              <w:pStyle w:val="IEEEFigureCaptionSingle-Line"/>
              <w:spacing w:before="0" w:after="0"/>
              <w:rPr>
                <w:rFonts w:asciiTheme="majorBidi" w:hAnsiTheme="majorBidi" w:cstheme="majorBidi"/>
                <w:sz w:val="24"/>
              </w:rPr>
            </w:pPr>
            <w:r w:rsidRPr="0023051F">
              <w:rPr>
                <w:rFonts w:asciiTheme="majorBidi" w:hAnsiTheme="majorBidi" w:cstheme="majorBidi"/>
                <w:sz w:val="24"/>
              </w:rPr>
              <w:t>44.65</w:t>
            </w:r>
            <w:r w:rsidRPr="0023051F">
              <w:rPr>
                <w:rFonts w:asciiTheme="majorBidi" w:hAnsiTheme="majorBidi" w:cstheme="majorBidi"/>
                <w:sz w:val="24"/>
                <w:vertAlign w:val="superscript"/>
              </w:rPr>
              <w:t>a</w:t>
            </w:r>
          </w:p>
        </w:tc>
        <w:tc>
          <w:tcPr>
            <w:tcW w:w="1541" w:type="dxa"/>
            <w:shd w:val="clear" w:color="auto" w:fill="FFFFFF"/>
            <w:tcMar>
              <w:top w:w="30" w:type="dxa"/>
              <w:left w:w="30" w:type="dxa"/>
              <w:bottom w:w="30" w:type="dxa"/>
              <w:right w:w="30" w:type="dxa"/>
            </w:tcMar>
            <w:vAlign w:val="center"/>
          </w:tcPr>
          <w:p w:rsidR="0023051F" w:rsidRPr="0023051F" w:rsidRDefault="0023051F" w:rsidP="00D13265">
            <w:pPr>
              <w:pStyle w:val="IEEEFigureCaptionSingle-Line"/>
              <w:spacing w:before="0" w:after="0"/>
              <w:rPr>
                <w:rFonts w:asciiTheme="majorBidi" w:hAnsiTheme="majorBidi" w:cstheme="majorBidi"/>
                <w:sz w:val="24"/>
              </w:rPr>
            </w:pPr>
            <w:r w:rsidRPr="0023051F">
              <w:rPr>
                <w:rFonts w:asciiTheme="majorBidi" w:hAnsiTheme="majorBidi" w:cstheme="majorBidi"/>
                <w:sz w:val="24"/>
              </w:rPr>
              <w:t>11.38</w:t>
            </w:r>
            <w:r w:rsidRPr="0023051F">
              <w:rPr>
                <w:rFonts w:asciiTheme="majorBidi" w:hAnsiTheme="majorBidi" w:cstheme="majorBidi"/>
                <w:sz w:val="24"/>
                <w:vertAlign w:val="superscript"/>
              </w:rPr>
              <w:t>a</w:t>
            </w:r>
          </w:p>
        </w:tc>
      </w:tr>
      <w:tr w:rsidR="0023051F" w:rsidRPr="0023051F" w:rsidTr="00A90924">
        <w:trPr>
          <w:cantSplit/>
          <w:trHeight w:val="232"/>
          <w:tblHeader/>
          <w:jc w:val="center"/>
        </w:trPr>
        <w:tc>
          <w:tcPr>
            <w:tcW w:w="2837" w:type="dxa"/>
            <w:gridSpan w:val="2"/>
            <w:shd w:val="clear" w:color="auto" w:fill="FFFFFF"/>
            <w:tcMar>
              <w:top w:w="30" w:type="dxa"/>
              <w:left w:w="30" w:type="dxa"/>
              <w:bottom w:w="30" w:type="dxa"/>
              <w:right w:w="30" w:type="dxa"/>
            </w:tcMar>
          </w:tcPr>
          <w:p w:rsidR="0023051F" w:rsidRPr="0023051F" w:rsidRDefault="0023051F" w:rsidP="00D13265">
            <w:pPr>
              <w:pStyle w:val="IEEEParagraph"/>
              <w:ind w:firstLine="215"/>
              <w:rPr>
                <w:rFonts w:asciiTheme="majorBidi" w:hAnsiTheme="majorBidi" w:cstheme="majorBidi"/>
              </w:rPr>
            </w:pPr>
            <w:r w:rsidRPr="0023051F">
              <w:rPr>
                <w:rFonts w:asciiTheme="majorBidi" w:hAnsiTheme="majorBidi" w:cstheme="majorBidi"/>
              </w:rPr>
              <w:t>Std. Deviation</w:t>
            </w:r>
          </w:p>
        </w:tc>
        <w:tc>
          <w:tcPr>
            <w:tcW w:w="1541" w:type="dxa"/>
            <w:shd w:val="clear" w:color="auto" w:fill="FFFFFF"/>
            <w:tcMar>
              <w:top w:w="30" w:type="dxa"/>
              <w:left w:w="30" w:type="dxa"/>
              <w:bottom w:w="30" w:type="dxa"/>
              <w:right w:w="30" w:type="dxa"/>
            </w:tcMar>
            <w:vAlign w:val="center"/>
          </w:tcPr>
          <w:p w:rsidR="0023051F" w:rsidRPr="0023051F" w:rsidRDefault="0023051F" w:rsidP="00D13265">
            <w:pPr>
              <w:pStyle w:val="IEEEFigureCaptionSingle-Line"/>
              <w:spacing w:before="0" w:after="0"/>
              <w:rPr>
                <w:rFonts w:asciiTheme="majorBidi" w:hAnsiTheme="majorBidi" w:cstheme="majorBidi"/>
                <w:sz w:val="24"/>
              </w:rPr>
            </w:pPr>
            <w:r w:rsidRPr="0023051F">
              <w:rPr>
                <w:rFonts w:asciiTheme="majorBidi" w:hAnsiTheme="majorBidi" w:cstheme="majorBidi"/>
                <w:sz w:val="24"/>
              </w:rPr>
              <w:t>1.62703</w:t>
            </w:r>
          </w:p>
        </w:tc>
        <w:tc>
          <w:tcPr>
            <w:tcW w:w="1538" w:type="dxa"/>
            <w:shd w:val="clear" w:color="auto" w:fill="FFFFFF"/>
            <w:tcMar>
              <w:top w:w="30" w:type="dxa"/>
              <w:left w:w="30" w:type="dxa"/>
              <w:bottom w:w="30" w:type="dxa"/>
              <w:right w:w="30" w:type="dxa"/>
            </w:tcMar>
            <w:vAlign w:val="center"/>
          </w:tcPr>
          <w:p w:rsidR="0023051F" w:rsidRPr="0023051F" w:rsidRDefault="0023051F" w:rsidP="00D13265">
            <w:pPr>
              <w:pStyle w:val="IEEEFigureCaptionSingle-Line"/>
              <w:spacing w:before="0" w:after="0"/>
              <w:rPr>
                <w:rFonts w:asciiTheme="majorBidi" w:hAnsiTheme="majorBidi" w:cstheme="majorBidi"/>
                <w:sz w:val="24"/>
              </w:rPr>
            </w:pPr>
            <w:r w:rsidRPr="0023051F">
              <w:rPr>
                <w:rFonts w:asciiTheme="majorBidi" w:hAnsiTheme="majorBidi" w:cstheme="majorBidi"/>
                <w:sz w:val="24"/>
              </w:rPr>
              <w:t>6.99246</w:t>
            </w:r>
          </w:p>
        </w:tc>
        <w:tc>
          <w:tcPr>
            <w:tcW w:w="1542" w:type="dxa"/>
            <w:shd w:val="clear" w:color="auto" w:fill="FFFFFF"/>
            <w:tcMar>
              <w:top w:w="30" w:type="dxa"/>
              <w:left w:w="30" w:type="dxa"/>
              <w:bottom w:w="30" w:type="dxa"/>
              <w:right w:w="30" w:type="dxa"/>
            </w:tcMar>
            <w:vAlign w:val="center"/>
          </w:tcPr>
          <w:p w:rsidR="0023051F" w:rsidRPr="0023051F" w:rsidRDefault="0023051F" w:rsidP="00D13265">
            <w:pPr>
              <w:pStyle w:val="IEEEFigureCaptionSingle-Line"/>
              <w:spacing w:before="0" w:after="0"/>
              <w:rPr>
                <w:rFonts w:asciiTheme="majorBidi" w:hAnsiTheme="majorBidi" w:cstheme="majorBidi"/>
                <w:sz w:val="24"/>
              </w:rPr>
            </w:pPr>
            <w:r w:rsidRPr="0023051F">
              <w:rPr>
                <w:rFonts w:asciiTheme="majorBidi" w:hAnsiTheme="majorBidi" w:cstheme="majorBidi"/>
                <w:sz w:val="24"/>
              </w:rPr>
              <w:t>8.60810</w:t>
            </w:r>
          </w:p>
        </w:tc>
        <w:tc>
          <w:tcPr>
            <w:tcW w:w="1541" w:type="dxa"/>
            <w:shd w:val="clear" w:color="auto" w:fill="FFFFFF"/>
            <w:tcMar>
              <w:top w:w="30" w:type="dxa"/>
              <w:left w:w="30" w:type="dxa"/>
              <w:bottom w:w="30" w:type="dxa"/>
              <w:right w:w="30" w:type="dxa"/>
            </w:tcMar>
            <w:vAlign w:val="center"/>
          </w:tcPr>
          <w:p w:rsidR="0023051F" w:rsidRPr="0023051F" w:rsidRDefault="0023051F" w:rsidP="00D13265">
            <w:pPr>
              <w:pStyle w:val="IEEEFigureCaptionSingle-Line"/>
              <w:spacing w:before="0" w:after="0"/>
              <w:rPr>
                <w:rFonts w:asciiTheme="majorBidi" w:hAnsiTheme="majorBidi" w:cstheme="majorBidi"/>
                <w:sz w:val="24"/>
              </w:rPr>
            </w:pPr>
            <w:r w:rsidRPr="0023051F">
              <w:rPr>
                <w:rFonts w:asciiTheme="majorBidi" w:hAnsiTheme="majorBidi" w:cstheme="majorBidi"/>
                <w:sz w:val="24"/>
              </w:rPr>
              <w:t>4.76892</w:t>
            </w:r>
          </w:p>
        </w:tc>
      </w:tr>
      <w:tr w:rsidR="0023051F" w:rsidRPr="0023051F" w:rsidTr="00A90924">
        <w:trPr>
          <w:cantSplit/>
          <w:trHeight w:val="221"/>
          <w:tblHeader/>
          <w:jc w:val="center"/>
        </w:trPr>
        <w:tc>
          <w:tcPr>
            <w:tcW w:w="2837" w:type="dxa"/>
            <w:gridSpan w:val="2"/>
            <w:shd w:val="clear" w:color="auto" w:fill="FFFFFF"/>
            <w:tcMar>
              <w:top w:w="30" w:type="dxa"/>
              <w:left w:w="30" w:type="dxa"/>
              <w:bottom w:w="30" w:type="dxa"/>
              <w:right w:w="30" w:type="dxa"/>
            </w:tcMar>
          </w:tcPr>
          <w:p w:rsidR="0023051F" w:rsidRPr="0023051F" w:rsidRDefault="0023051F" w:rsidP="00D13265">
            <w:pPr>
              <w:pStyle w:val="IEEEParagraph"/>
              <w:ind w:firstLine="215"/>
              <w:rPr>
                <w:rFonts w:asciiTheme="majorBidi" w:hAnsiTheme="majorBidi" w:cstheme="majorBidi"/>
              </w:rPr>
            </w:pPr>
            <w:r w:rsidRPr="0023051F">
              <w:rPr>
                <w:rFonts w:asciiTheme="majorBidi" w:hAnsiTheme="majorBidi" w:cstheme="majorBidi"/>
              </w:rPr>
              <w:t>Variance</w:t>
            </w:r>
          </w:p>
        </w:tc>
        <w:tc>
          <w:tcPr>
            <w:tcW w:w="1541" w:type="dxa"/>
            <w:shd w:val="clear" w:color="auto" w:fill="FFFFFF"/>
            <w:tcMar>
              <w:top w:w="30" w:type="dxa"/>
              <w:left w:w="30" w:type="dxa"/>
              <w:bottom w:w="30" w:type="dxa"/>
              <w:right w:w="30" w:type="dxa"/>
            </w:tcMar>
            <w:vAlign w:val="center"/>
          </w:tcPr>
          <w:p w:rsidR="0023051F" w:rsidRPr="0023051F" w:rsidRDefault="0023051F" w:rsidP="00D13265">
            <w:pPr>
              <w:pStyle w:val="IEEEFigureCaptionSingle-Line"/>
              <w:spacing w:before="0" w:after="0"/>
              <w:rPr>
                <w:rFonts w:asciiTheme="majorBidi" w:hAnsiTheme="majorBidi" w:cstheme="majorBidi"/>
                <w:sz w:val="24"/>
              </w:rPr>
            </w:pPr>
            <w:r w:rsidRPr="0023051F">
              <w:rPr>
                <w:rFonts w:asciiTheme="majorBidi" w:hAnsiTheme="majorBidi" w:cstheme="majorBidi"/>
                <w:sz w:val="24"/>
              </w:rPr>
              <w:t>2.647</w:t>
            </w:r>
          </w:p>
        </w:tc>
        <w:tc>
          <w:tcPr>
            <w:tcW w:w="1538" w:type="dxa"/>
            <w:shd w:val="clear" w:color="auto" w:fill="FFFFFF"/>
            <w:tcMar>
              <w:top w:w="30" w:type="dxa"/>
              <w:left w:w="30" w:type="dxa"/>
              <w:bottom w:w="30" w:type="dxa"/>
              <w:right w:w="30" w:type="dxa"/>
            </w:tcMar>
            <w:vAlign w:val="center"/>
          </w:tcPr>
          <w:p w:rsidR="0023051F" w:rsidRPr="0023051F" w:rsidRDefault="0023051F" w:rsidP="00D13265">
            <w:pPr>
              <w:pStyle w:val="IEEEFigureCaptionSingle-Line"/>
              <w:spacing w:before="0" w:after="0"/>
              <w:rPr>
                <w:rFonts w:asciiTheme="majorBidi" w:hAnsiTheme="majorBidi" w:cstheme="majorBidi"/>
                <w:sz w:val="24"/>
              </w:rPr>
            </w:pPr>
            <w:r w:rsidRPr="0023051F">
              <w:rPr>
                <w:rFonts w:asciiTheme="majorBidi" w:hAnsiTheme="majorBidi" w:cstheme="majorBidi"/>
                <w:sz w:val="24"/>
              </w:rPr>
              <w:t>48.894</w:t>
            </w:r>
          </w:p>
        </w:tc>
        <w:tc>
          <w:tcPr>
            <w:tcW w:w="1542" w:type="dxa"/>
            <w:shd w:val="clear" w:color="auto" w:fill="FFFFFF"/>
            <w:tcMar>
              <w:top w:w="30" w:type="dxa"/>
              <w:left w:w="30" w:type="dxa"/>
              <w:bottom w:w="30" w:type="dxa"/>
              <w:right w:w="30" w:type="dxa"/>
            </w:tcMar>
            <w:vAlign w:val="center"/>
          </w:tcPr>
          <w:p w:rsidR="0023051F" w:rsidRPr="0023051F" w:rsidRDefault="0023051F" w:rsidP="00D13265">
            <w:pPr>
              <w:pStyle w:val="IEEEFigureCaptionSingle-Line"/>
              <w:spacing w:before="0" w:after="0"/>
              <w:rPr>
                <w:rFonts w:asciiTheme="majorBidi" w:hAnsiTheme="majorBidi" w:cstheme="majorBidi"/>
                <w:sz w:val="24"/>
              </w:rPr>
            </w:pPr>
            <w:r w:rsidRPr="0023051F">
              <w:rPr>
                <w:rFonts w:asciiTheme="majorBidi" w:hAnsiTheme="majorBidi" w:cstheme="majorBidi"/>
                <w:sz w:val="24"/>
              </w:rPr>
              <w:t>74.099</w:t>
            </w:r>
          </w:p>
        </w:tc>
        <w:tc>
          <w:tcPr>
            <w:tcW w:w="1541" w:type="dxa"/>
            <w:shd w:val="clear" w:color="auto" w:fill="FFFFFF"/>
            <w:tcMar>
              <w:top w:w="30" w:type="dxa"/>
              <w:left w:w="30" w:type="dxa"/>
              <w:bottom w:w="30" w:type="dxa"/>
              <w:right w:w="30" w:type="dxa"/>
            </w:tcMar>
            <w:vAlign w:val="center"/>
          </w:tcPr>
          <w:p w:rsidR="0023051F" w:rsidRPr="0023051F" w:rsidRDefault="0023051F" w:rsidP="00D13265">
            <w:pPr>
              <w:pStyle w:val="IEEEFigureCaptionSingle-Line"/>
              <w:spacing w:before="0" w:after="0"/>
              <w:rPr>
                <w:rFonts w:asciiTheme="majorBidi" w:hAnsiTheme="majorBidi" w:cstheme="majorBidi"/>
                <w:sz w:val="24"/>
              </w:rPr>
            </w:pPr>
            <w:r w:rsidRPr="0023051F">
              <w:rPr>
                <w:rFonts w:asciiTheme="majorBidi" w:hAnsiTheme="majorBidi" w:cstheme="majorBidi"/>
                <w:sz w:val="24"/>
              </w:rPr>
              <w:t>22.743</w:t>
            </w:r>
          </w:p>
        </w:tc>
      </w:tr>
      <w:tr w:rsidR="0023051F" w:rsidRPr="0023051F" w:rsidTr="00A90924">
        <w:trPr>
          <w:cantSplit/>
          <w:trHeight w:val="221"/>
          <w:tblHeader/>
          <w:jc w:val="center"/>
        </w:trPr>
        <w:tc>
          <w:tcPr>
            <w:tcW w:w="2837" w:type="dxa"/>
            <w:gridSpan w:val="2"/>
            <w:shd w:val="clear" w:color="auto" w:fill="FFFFFF"/>
            <w:tcMar>
              <w:top w:w="30" w:type="dxa"/>
              <w:left w:w="30" w:type="dxa"/>
              <w:bottom w:w="30" w:type="dxa"/>
              <w:right w:w="30" w:type="dxa"/>
            </w:tcMar>
          </w:tcPr>
          <w:p w:rsidR="0023051F" w:rsidRPr="0023051F" w:rsidRDefault="0023051F" w:rsidP="00D13265">
            <w:pPr>
              <w:pStyle w:val="IEEEParagraph"/>
              <w:ind w:firstLine="215"/>
              <w:rPr>
                <w:rFonts w:asciiTheme="majorBidi" w:hAnsiTheme="majorBidi" w:cstheme="majorBidi"/>
              </w:rPr>
            </w:pPr>
            <w:r w:rsidRPr="0023051F">
              <w:rPr>
                <w:rFonts w:asciiTheme="majorBidi" w:hAnsiTheme="majorBidi" w:cstheme="majorBidi"/>
              </w:rPr>
              <w:t>Range</w:t>
            </w:r>
          </w:p>
        </w:tc>
        <w:tc>
          <w:tcPr>
            <w:tcW w:w="1541" w:type="dxa"/>
            <w:shd w:val="clear" w:color="auto" w:fill="FFFFFF"/>
            <w:tcMar>
              <w:top w:w="30" w:type="dxa"/>
              <w:left w:w="30" w:type="dxa"/>
              <w:bottom w:w="30" w:type="dxa"/>
              <w:right w:w="30" w:type="dxa"/>
            </w:tcMar>
            <w:vAlign w:val="center"/>
          </w:tcPr>
          <w:p w:rsidR="0023051F" w:rsidRPr="0023051F" w:rsidRDefault="0023051F" w:rsidP="00D13265">
            <w:pPr>
              <w:pStyle w:val="IEEEFigureCaptionSingle-Line"/>
              <w:spacing w:before="0" w:after="0"/>
              <w:rPr>
                <w:rFonts w:asciiTheme="majorBidi" w:hAnsiTheme="majorBidi" w:cstheme="majorBidi"/>
                <w:sz w:val="24"/>
              </w:rPr>
            </w:pPr>
            <w:r w:rsidRPr="0023051F">
              <w:rPr>
                <w:rFonts w:asciiTheme="majorBidi" w:hAnsiTheme="majorBidi" w:cstheme="majorBidi"/>
                <w:sz w:val="24"/>
              </w:rPr>
              <w:t>5.17</w:t>
            </w:r>
          </w:p>
        </w:tc>
        <w:tc>
          <w:tcPr>
            <w:tcW w:w="1538" w:type="dxa"/>
            <w:shd w:val="clear" w:color="auto" w:fill="FFFFFF"/>
            <w:tcMar>
              <w:top w:w="30" w:type="dxa"/>
              <w:left w:w="30" w:type="dxa"/>
              <w:bottom w:w="30" w:type="dxa"/>
              <w:right w:w="30" w:type="dxa"/>
            </w:tcMar>
            <w:vAlign w:val="center"/>
          </w:tcPr>
          <w:p w:rsidR="0023051F" w:rsidRPr="0023051F" w:rsidRDefault="0023051F" w:rsidP="00D13265">
            <w:pPr>
              <w:pStyle w:val="IEEEFigureCaptionSingle-Line"/>
              <w:spacing w:before="0" w:after="0"/>
              <w:rPr>
                <w:rFonts w:asciiTheme="majorBidi" w:hAnsiTheme="majorBidi" w:cstheme="majorBidi"/>
                <w:sz w:val="24"/>
              </w:rPr>
            </w:pPr>
            <w:r w:rsidRPr="0023051F">
              <w:rPr>
                <w:rFonts w:asciiTheme="majorBidi" w:hAnsiTheme="majorBidi" w:cstheme="majorBidi"/>
                <w:sz w:val="24"/>
              </w:rPr>
              <w:t>22.84</w:t>
            </w:r>
          </w:p>
        </w:tc>
        <w:tc>
          <w:tcPr>
            <w:tcW w:w="1542" w:type="dxa"/>
            <w:shd w:val="clear" w:color="auto" w:fill="FFFFFF"/>
            <w:tcMar>
              <w:top w:w="30" w:type="dxa"/>
              <w:left w:w="30" w:type="dxa"/>
              <w:bottom w:w="30" w:type="dxa"/>
              <w:right w:w="30" w:type="dxa"/>
            </w:tcMar>
            <w:vAlign w:val="center"/>
          </w:tcPr>
          <w:p w:rsidR="0023051F" w:rsidRPr="0023051F" w:rsidRDefault="0023051F" w:rsidP="00D13265">
            <w:pPr>
              <w:pStyle w:val="IEEEFigureCaptionSingle-Line"/>
              <w:spacing w:before="0" w:after="0"/>
              <w:rPr>
                <w:rFonts w:asciiTheme="majorBidi" w:hAnsiTheme="majorBidi" w:cstheme="majorBidi"/>
                <w:sz w:val="24"/>
              </w:rPr>
            </w:pPr>
            <w:r w:rsidRPr="0023051F">
              <w:rPr>
                <w:rFonts w:asciiTheme="majorBidi" w:hAnsiTheme="majorBidi" w:cstheme="majorBidi"/>
                <w:sz w:val="24"/>
              </w:rPr>
              <w:t>27.17</w:t>
            </w:r>
          </w:p>
        </w:tc>
        <w:tc>
          <w:tcPr>
            <w:tcW w:w="1541" w:type="dxa"/>
            <w:shd w:val="clear" w:color="auto" w:fill="FFFFFF"/>
            <w:tcMar>
              <w:top w:w="30" w:type="dxa"/>
              <w:left w:w="30" w:type="dxa"/>
              <w:bottom w:w="30" w:type="dxa"/>
              <w:right w:w="30" w:type="dxa"/>
            </w:tcMar>
            <w:vAlign w:val="center"/>
          </w:tcPr>
          <w:p w:rsidR="0023051F" w:rsidRPr="0023051F" w:rsidRDefault="0023051F" w:rsidP="00D13265">
            <w:pPr>
              <w:pStyle w:val="IEEEFigureCaptionSingle-Line"/>
              <w:spacing w:before="0" w:after="0"/>
              <w:rPr>
                <w:rFonts w:asciiTheme="majorBidi" w:hAnsiTheme="majorBidi" w:cstheme="majorBidi"/>
                <w:sz w:val="24"/>
              </w:rPr>
            </w:pPr>
            <w:r w:rsidRPr="0023051F">
              <w:rPr>
                <w:rFonts w:asciiTheme="majorBidi" w:hAnsiTheme="majorBidi" w:cstheme="majorBidi"/>
                <w:sz w:val="24"/>
              </w:rPr>
              <w:t>13.29</w:t>
            </w:r>
          </w:p>
        </w:tc>
      </w:tr>
      <w:tr w:rsidR="0023051F" w:rsidRPr="0023051F" w:rsidTr="00A90924">
        <w:trPr>
          <w:cantSplit/>
          <w:trHeight w:val="232"/>
          <w:tblHeader/>
          <w:jc w:val="center"/>
        </w:trPr>
        <w:tc>
          <w:tcPr>
            <w:tcW w:w="2837" w:type="dxa"/>
            <w:gridSpan w:val="2"/>
            <w:shd w:val="clear" w:color="auto" w:fill="FFFFFF"/>
            <w:tcMar>
              <w:top w:w="30" w:type="dxa"/>
              <w:left w:w="30" w:type="dxa"/>
              <w:bottom w:w="30" w:type="dxa"/>
              <w:right w:w="30" w:type="dxa"/>
            </w:tcMar>
          </w:tcPr>
          <w:p w:rsidR="0023051F" w:rsidRPr="0023051F" w:rsidRDefault="0023051F" w:rsidP="00D13265">
            <w:pPr>
              <w:pStyle w:val="IEEEParagraph"/>
              <w:ind w:firstLine="215"/>
              <w:rPr>
                <w:rFonts w:asciiTheme="majorBidi" w:hAnsiTheme="majorBidi" w:cstheme="majorBidi"/>
              </w:rPr>
            </w:pPr>
            <w:r w:rsidRPr="0023051F">
              <w:rPr>
                <w:rFonts w:asciiTheme="majorBidi" w:hAnsiTheme="majorBidi" w:cstheme="majorBidi"/>
              </w:rPr>
              <w:t>Minimum</w:t>
            </w:r>
          </w:p>
        </w:tc>
        <w:tc>
          <w:tcPr>
            <w:tcW w:w="1541" w:type="dxa"/>
            <w:shd w:val="clear" w:color="auto" w:fill="FFFFFF"/>
            <w:tcMar>
              <w:top w:w="30" w:type="dxa"/>
              <w:left w:w="30" w:type="dxa"/>
              <w:bottom w:w="30" w:type="dxa"/>
              <w:right w:w="30" w:type="dxa"/>
            </w:tcMar>
            <w:vAlign w:val="center"/>
          </w:tcPr>
          <w:p w:rsidR="0023051F" w:rsidRPr="0023051F" w:rsidRDefault="0023051F" w:rsidP="00D13265">
            <w:pPr>
              <w:pStyle w:val="IEEEFigureCaptionSingle-Line"/>
              <w:spacing w:before="0" w:after="0"/>
              <w:rPr>
                <w:rFonts w:asciiTheme="majorBidi" w:hAnsiTheme="majorBidi" w:cstheme="majorBidi"/>
                <w:sz w:val="24"/>
              </w:rPr>
            </w:pPr>
            <w:r w:rsidRPr="0023051F">
              <w:rPr>
                <w:rFonts w:asciiTheme="majorBidi" w:hAnsiTheme="majorBidi" w:cstheme="majorBidi"/>
                <w:sz w:val="24"/>
              </w:rPr>
              <w:t>93.94</w:t>
            </w:r>
          </w:p>
        </w:tc>
        <w:tc>
          <w:tcPr>
            <w:tcW w:w="1538" w:type="dxa"/>
            <w:shd w:val="clear" w:color="auto" w:fill="FFFFFF"/>
            <w:tcMar>
              <w:top w:w="30" w:type="dxa"/>
              <w:left w:w="30" w:type="dxa"/>
              <w:bottom w:w="30" w:type="dxa"/>
              <w:right w:w="30" w:type="dxa"/>
            </w:tcMar>
            <w:vAlign w:val="center"/>
          </w:tcPr>
          <w:p w:rsidR="0023051F" w:rsidRPr="0023051F" w:rsidRDefault="0023051F" w:rsidP="00D13265">
            <w:pPr>
              <w:pStyle w:val="IEEEFigureCaptionSingle-Line"/>
              <w:spacing w:before="0" w:after="0"/>
              <w:rPr>
                <w:rFonts w:asciiTheme="majorBidi" w:hAnsiTheme="majorBidi" w:cstheme="majorBidi"/>
                <w:sz w:val="24"/>
              </w:rPr>
            </w:pPr>
            <w:r w:rsidRPr="0023051F">
              <w:rPr>
                <w:rFonts w:asciiTheme="majorBidi" w:hAnsiTheme="majorBidi" w:cstheme="majorBidi"/>
                <w:sz w:val="24"/>
              </w:rPr>
              <w:t>72.39</w:t>
            </w:r>
          </w:p>
        </w:tc>
        <w:tc>
          <w:tcPr>
            <w:tcW w:w="1542" w:type="dxa"/>
            <w:shd w:val="clear" w:color="auto" w:fill="FFFFFF"/>
            <w:tcMar>
              <w:top w:w="30" w:type="dxa"/>
              <w:left w:w="30" w:type="dxa"/>
              <w:bottom w:w="30" w:type="dxa"/>
              <w:right w:w="30" w:type="dxa"/>
            </w:tcMar>
            <w:vAlign w:val="center"/>
          </w:tcPr>
          <w:p w:rsidR="0023051F" w:rsidRPr="0023051F" w:rsidRDefault="0023051F" w:rsidP="00D13265">
            <w:pPr>
              <w:pStyle w:val="IEEEFigureCaptionSingle-Line"/>
              <w:spacing w:before="0" w:after="0"/>
              <w:rPr>
                <w:rFonts w:asciiTheme="majorBidi" w:hAnsiTheme="majorBidi" w:cstheme="majorBidi"/>
                <w:sz w:val="24"/>
              </w:rPr>
            </w:pPr>
            <w:r w:rsidRPr="0023051F">
              <w:rPr>
                <w:rFonts w:asciiTheme="majorBidi" w:hAnsiTheme="majorBidi" w:cstheme="majorBidi"/>
                <w:sz w:val="24"/>
              </w:rPr>
              <w:t>44.65</w:t>
            </w:r>
          </w:p>
        </w:tc>
        <w:tc>
          <w:tcPr>
            <w:tcW w:w="1541" w:type="dxa"/>
            <w:shd w:val="clear" w:color="auto" w:fill="FFFFFF"/>
            <w:tcMar>
              <w:top w:w="30" w:type="dxa"/>
              <w:left w:w="30" w:type="dxa"/>
              <w:bottom w:w="30" w:type="dxa"/>
              <w:right w:w="30" w:type="dxa"/>
            </w:tcMar>
            <w:vAlign w:val="center"/>
          </w:tcPr>
          <w:p w:rsidR="0023051F" w:rsidRPr="0023051F" w:rsidRDefault="0023051F" w:rsidP="00D13265">
            <w:pPr>
              <w:pStyle w:val="IEEEFigureCaptionSingle-Line"/>
              <w:spacing w:before="0" w:after="0"/>
              <w:rPr>
                <w:rFonts w:asciiTheme="majorBidi" w:hAnsiTheme="majorBidi" w:cstheme="majorBidi"/>
                <w:sz w:val="24"/>
              </w:rPr>
            </w:pPr>
            <w:r w:rsidRPr="0023051F">
              <w:rPr>
                <w:rFonts w:asciiTheme="majorBidi" w:hAnsiTheme="majorBidi" w:cstheme="majorBidi"/>
                <w:sz w:val="24"/>
              </w:rPr>
              <w:t>11.38</w:t>
            </w:r>
          </w:p>
        </w:tc>
      </w:tr>
      <w:tr w:rsidR="0023051F" w:rsidRPr="0023051F" w:rsidTr="00A90924">
        <w:trPr>
          <w:cantSplit/>
          <w:trHeight w:val="221"/>
          <w:tblHeader/>
          <w:jc w:val="center"/>
        </w:trPr>
        <w:tc>
          <w:tcPr>
            <w:tcW w:w="2837" w:type="dxa"/>
            <w:gridSpan w:val="2"/>
            <w:shd w:val="clear" w:color="auto" w:fill="FFFFFF"/>
            <w:tcMar>
              <w:top w:w="30" w:type="dxa"/>
              <w:left w:w="30" w:type="dxa"/>
              <w:bottom w:w="30" w:type="dxa"/>
              <w:right w:w="30" w:type="dxa"/>
            </w:tcMar>
          </w:tcPr>
          <w:p w:rsidR="0023051F" w:rsidRPr="0023051F" w:rsidRDefault="0023051F" w:rsidP="00D13265">
            <w:pPr>
              <w:pStyle w:val="IEEEParagraph"/>
              <w:ind w:firstLine="215"/>
              <w:rPr>
                <w:rFonts w:asciiTheme="majorBidi" w:hAnsiTheme="majorBidi" w:cstheme="majorBidi"/>
              </w:rPr>
            </w:pPr>
            <w:r w:rsidRPr="0023051F">
              <w:rPr>
                <w:rFonts w:asciiTheme="majorBidi" w:hAnsiTheme="majorBidi" w:cstheme="majorBidi"/>
              </w:rPr>
              <w:t>Maximum</w:t>
            </w:r>
          </w:p>
        </w:tc>
        <w:tc>
          <w:tcPr>
            <w:tcW w:w="1541" w:type="dxa"/>
            <w:shd w:val="clear" w:color="auto" w:fill="FFFFFF"/>
            <w:tcMar>
              <w:top w:w="30" w:type="dxa"/>
              <w:left w:w="30" w:type="dxa"/>
              <w:bottom w:w="30" w:type="dxa"/>
              <w:right w:w="30" w:type="dxa"/>
            </w:tcMar>
            <w:vAlign w:val="center"/>
          </w:tcPr>
          <w:p w:rsidR="0023051F" w:rsidRPr="0023051F" w:rsidRDefault="0023051F" w:rsidP="00D13265">
            <w:pPr>
              <w:pStyle w:val="IEEEFigureCaptionSingle-Line"/>
              <w:spacing w:before="0" w:after="0"/>
              <w:rPr>
                <w:rFonts w:asciiTheme="majorBidi" w:hAnsiTheme="majorBidi" w:cstheme="majorBidi"/>
                <w:sz w:val="24"/>
              </w:rPr>
            </w:pPr>
            <w:r w:rsidRPr="0023051F">
              <w:rPr>
                <w:rFonts w:asciiTheme="majorBidi" w:hAnsiTheme="majorBidi" w:cstheme="majorBidi"/>
                <w:sz w:val="24"/>
              </w:rPr>
              <w:t>99.11</w:t>
            </w:r>
          </w:p>
        </w:tc>
        <w:tc>
          <w:tcPr>
            <w:tcW w:w="1538" w:type="dxa"/>
            <w:shd w:val="clear" w:color="auto" w:fill="FFFFFF"/>
            <w:tcMar>
              <w:top w:w="30" w:type="dxa"/>
              <w:left w:w="30" w:type="dxa"/>
              <w:bottom w:w="30" w:type="dxa"/>
              <w:right w:w="30" w:type="dxa"/>
            </w:tcMar>
            <w:vAlign w:val="center"/>
          </w:tcPr>
          <w:p w:rsidR="0023051F" w:rsidRPr="0023051F" w:rsidRDefault="0023051F" w:rsidP="00D13265">
            <w:pPr>
              <w:pStyle w:val="IEEEFigureCaptionSingle-Line"/>
              <w:spacing w:before="0" w:after="0"/>
              <w:rPr>
                <w:rFonts w:asciiTheme="majorBidi" w:hAnsiTheme="majorBidi" w:cstheme="majorBidi"/>
                <w:sz w:val="24"/>
              </w:rPr>
            </w:pPr>
            <w:r w:rsidRPr="0023051F">
              <w:rPr>
                <w:rFonts w:asciiTheme="majorBidi" w:hAnsiTheme="majorBidi" w:cstheme="majorBidi"/>
                <w:sz w:val="24"/>
              </w:rPr>
              <w:t>95.23</w:t>
            </w:r>
          </w:p>
        </w:tc>
        <w:tc>
          <w:tcPr>
            <w:tcW w:w="1542" w:type="dxa"/>
            <w:shd w:val="clear" w:color="auto" w:fill="FFFFFF"/>
            <w:tcMar>
              <w:top w:w="30" w:type="dxa"/>
              <w:left w:w="30" w:type="dxa"/>
              <w:bottom w:w="30" w:type="dxa"/>
              <w:right w:w="30" w:type="dxa"/>
            </w:tcMar>
            <w:vAlign w:val="center"/>
          </w:tcPr>
          <w:p w:rsidR="0023051F" w:rsidRPr="0023051F" w:rsidRDefault="0023051F" w:rsidP="00D13265">
            <w:pPr>
              <w:pStyle w:val="IEEEFigureCaptionSingle-Line"/>
              <w:spacing w:before="0" w:after="0"/>
              <w:rPr>
                <w:rFonts w:asciiTheme="majorBidi" w:hAnsiTheme="majorBidi" w:cstheme="majorBidi"/>
                <w:sz w:val="24"/>
              </w:rPr>
            </w:pPr>
            <w:r w:rsidRPr="0023051F">
              <w:rPr>
                <w:rFonts w:asciiTheme="majorBidi" w:hAnsiTheme="majorBidi" w:cstheme="majorBidi"/>
                <w:sz w:val="24"/>
              </w:rPr>
              <w:t>71.82</w:t>
            </w:r>
          </w:p>
        </w:tc>
        <w:tc>
          <w:tcPr>
            <w:tcW w:w="1541" w:type="dxa"/>
            <w:shd w:val="clear" w:color="auto" w:fill="FFFFFF"/>
            <w:tcMar>
              <w:top w:w="30" w:type="dxa"/>
              <w:left w:w="30" w:type="dxa"/>
              <w:bottom w:w="30" w:type="dxa"/>
              <w:right w:w="30" w:type="dxa"/>
            </w:tcMar>
            <w:vAlign w:val="center"/>
          </w:tcPr>
          <w:p w:rsidR="0023051F" w:rsidRPr="0023051F" w:rsidRDefault="0023051F" w:rsidP="00D13265">
            <w:pPr>
              <w:pStyle w:val="IEEEFigureCaptionSingle-Line"/>
              <w:spacing w:before="0" w:after="0"/>
              <w:rPr>
                <w:rFonts w:asciiTheme="majorBidi" w:hAnsiTheme="majorBidi" w:cstheme="majorBidi"/>
                <w:sz w:val="24"/>
              </w:rPr>
            </w:pPr>
            <w:r w:rsidRPr="0023051F">
              <w:rPr>
                <w:rFonts w:asciiTheme="majorBidi" w:hAnsiTheme="majorBidi" w:cstheme="majorBidi"/>
                <w:sz w:val="24"/>
              </w:rPr>
              <w:t>24.67</w:t>
            </w:r>
          </w:p>
        </w:tc>
      </w:tr>
      <w:tr w:rsidR="0023051F" w:rsidRPr="0023051F" w:rsidTr="00A90924">
        <w:trPr>
          <w:cantSplit/>
          <w:trHeight w:val="221"/>
          <w:tblHeader/>
          <w:jc w:val="center"/>
        </w:trPr>
        <w:tc>
          <w:tcPr>
            <w:tcW w:w="2837" w:type="dxa"/>
            <w:gridSpan w:val="2"/>
            <w:shd w:val="clear" w:color="auto" w:fill="FFFFFF"/>
            <w:tcMar>
              <w:top w:w="30" w:type="dxa"/>
              <w:left w:w="30" w:type="dxa"/>
              <w:bottom w:w="30" w:type="dxa"/>
              <w:right w:w="30" w:type="dxa"/>
            </w:tcMar>
          </w:tcPr>
          <w:p w:rsidR="0023051F" w:rsidRPr="0023051F" w:rsidRDefault="0023051F" w:rsidP="00D13265">
            <w:pPr>
              <w:pStyle w:val="IEEEParagraph"/>
              <w:ind w:firstLine="215"/>
              <w:rPr>
                <w:rFonts w:asciiTheme="majorBidi" w:hAnsiTheme="majorBidi" w:cstheme="majorBidi"/>
              </w:rPr>
            </w:pPr>
            <w:r w:rsidRPr="0023051F">
              <w:rPr>
                <w:rFonts w:asciiTheme="majorBidi" w:hAnsiTheme="majorBidi" w:cstheme="majorBidi"/>
              </w:rPr>
              <w:t>Sum</w:t>
            </w:r>
          </w:p>
        </w:tc>
        <w:tc>
          <w:tcPr>
            <w:tcW w:w="1541" w:type="dxa"/>
            <w:shd w:val="clear" w:color="auto" w:fill="FFFFFF"/>
            <w:tcMar>
              <w:top w:w="30" w:type="dxa"/>
              <w:left w:w="30" w:type="dxa"/>
              <w:bottom w:w="30" w:type="dxa"/>
              <w:right w:w="30" w:type="dxa"/>
            </w:tcMar>
            <w:vAlign w:val="center"/>
          </w:tcPr>
          <w:p w:rsidR="0023051F" w:rsidRPr="0023051F" w:rsidRDefault="0023051F" w:rsidP="00D13265">
            <w:pPr>
              <w:pStyle w:val="IEEEFigureCaptionSingle-Line"/>
              <w:spacing w:before="0" w:after="0"/>
              <w:rPr>
                <w:rFonts w:asciiTheme="majorBidi" w:hAnsiTheme="majorBidi" w:cstheme="majorBidi"/>
                <w:sz w:val="24"/>
              </w:rPr>
            </w:pPr>
            <w:r w:rsidRPr="0023051F">
              <w:rPr>
                <w:rFonts w:asciiTheme="majorBidi" w:hAnsiTheme="majorBidi" w:cstheme="majorBidi"/>
                <w:sz w:val="24"/>
              </w:rPr>
              <w:t>2422.87</w:t>
            </w:r>
          </w:p>
        </w:tc>
        <w:tc>
          <w:tcPr>
            <w:tcW w:w="1538" w:type="dxa"/>
            <w:shd w:val="clear" w:color="auto" w:fill="FFFFFF"/>
            <w:tcMar>
              <w:top w:w="30" w:type="dxa"/>
              <w:left w:w="30" w:type="dxa"/>
              <w:bottom w:w="30" w:type="dxa"/>
              <w:right w:w="30" w:type="dxa"/>
            </w:tcMar>
            <w:vAlign w:val="center"/>
          </w:tcPr>
          <w:p w:rsidR="0023051F" w:rsidRPr="0023051F" w:rsidRDefault="0023051F" w:rsidP="00D13265">
            <w:pPr>
              <w:pStyle w:val="IEEEFigureCaptionSingle-Line"/>
              <w:spacing w:before="0" w:after="0"/>
              <w:rPr>
                <w:rFonts w:asciiTheme="majorBidi" w:hAnsiTheme="majorBidi" w:cstheme="majorBidi"/>
                <w:sz w:val="24"/>
              </w:rPr>
            </w:pPr>
            <w:r w:rsidRPr="0023051F">
              <w:rPr>
                <w:rFonts w:asciiTheme="majorBidi" w:hAnsiTheme="majorBidi" w:cstheme="majorBidi"/>
                <w:sz w:val="24"/>
              </w:rPr>
              <w:t>2107.68</w:t>
            </w:r>
          </w:p>
        </w:tc>
        <w:tc>
          <w:tcPr>
            <w:tcW w:w="1542" w:type="dxa"/>
            <w:shd w:val="clear" w:color="auto" w:fill="FFFFFF"/>
            <w:tcMar>
              <w:top w:w="30" w:type="dxa"/>
              <w:left w:w="30" w:type="dxa"/>
              <w:bottom w:w="30" w:type="dxa"/>
              <w:right w:w="30" w:type="dxa"/>
            </w:tcMar>
            <w:vAlign w:val="center"/>
          </w:tcPr>
          <w:p w:rsidR="0023051F" w:rsidRPr="0023051F" w:rsidRDefault="0023051F" w:rsidP="00D13265">
            <w:pPr>
              <w:pStyle w:val="IEEEFigureCaptionSingle-Line"/>
              <w:spacing w:before="0" w:after="0"/>
              <w:rPr>
                <w:rFonts w:asciiTheme="majorBidi" w:hAnsiTheme="majorBidi" w:cstheme="majorBidi"/>
                <w:sz w:val="24"/>
              </w:rPr>
            </w:pPr>
            <w:r w:rsidRPr="0023051F">
              <w:rPr>
                <w:rFonts w:asciiTheme="majorBidi" w:hAnsiTheme="majorBidi" w:cstheme="majorBidi"/>
                <w:sz w:val="24"/>
              </w:rPr>
              <w:t>1405.86</w:t>
            </w:r>
          </w:p>
        </w:tc>
        <w:tc>
          <w:tcPr>
            <w:tcW w:w="1541" w:type="dxa"/>
            <w:shd w:val="clear" w:color="auto" w:fill="FFFFFF"/>
            <w:tcMar>
              <w:top w:w="30" w:type="dxa"/>
              <w:left w:w="30" w:type="dxa"/>
              <w:bottom w:w="30" w:type="dxa"/>
              <w:right w:w="30" w:type="dxa"/>
            </w:tcMar>
            <w:vAlign w:val="center"/>
          </w:tcPr>
          <w:p w:rsidR="0023051F" w:rsidRPr="0023051F" w:rsidRDefault="0023051F" w:rsidP="00D13265">
            <w:pPr>
              <w:pStyle w:val="IEEEFigureCaptionSingle-Line"/>
              <w:spacing w:before="0" w:after="0"/>
              <w:rPr>
                <w:rFonts w:asciiTheme="majorBidi" w:hAnsiTheme="majorBidi" w:cstheme="majorBidi"/>
                <w:sz w:val="24"/>
              </w:rPr>
            </w:pPr>
            <w:r w:rsidRPr="0023051F">
              <w:rPr>
                <w:rFonts w:asciiTheme="majorBidi" w:hAnsiTheme="majorBidi" w:cstheme="majorBidi"/>
                <w:sz w:val="24"/>
              </w:rPr>
              <w:t>375.54</w:t>
            </w:r>
          </w:p>
        </w:tc>
      </w:tr>
      <w:tr w:rsidR="0023051F" w:rsidRPr="0023051F" w:rsidTr="00A90924">
        <w:trPr>
          <w:cantSplit/>
          <w:trHeight w:val="221"/>
          <w:jc w:val="center"/>
        </w:trPr>
        <w:tc>
          <w:tcPr>
            <w:tcW w:w="7458" w:type="dxa"/>
            <w:gridSpan w:val="5"/>
            <w:shd w:val="clear" w:color="auto" w:fill="FFFFFF"/>
            <w:tcMar>
              <w:top w:w="30" w:type="dxa"/>
              <w:left w:w="30" w:type="dxa"/>
              <w:bottom w:w="30" w:type="dxa"/>
              <w:right w:w="30" w:type="dxa"/>
            </w:tcMar>
          </w:tcPr>
          <w:p w:rsidR="0023051F" w:rsidRPr="0023051F" w:rsidRDefault="0023051F" w:rsidP="00D13265">
            <w:pPr>
              <w:pStyle w:val="IEEEParagraph"/>
              <w:ind w:firstLine="215"/>
              <w:rPr>
                <w:rFonts w:asciiTheme="majorBidi" w:hAnsiTheme="majorBidi" w:cstheme="majorBidi"/>
              </w:rPr>
            </w:pPr>
            <w:r w:rsidRPr="0023051F">
              <w:rPr>
                <w:rFonts w:asciiTheme="majorBidi" w:hAnsiTheme="majorBidi" w:cstheme="majorBidi"/>
              </w:rPr>
              <w:t>a. Multiple modes exist. The smallest value is shown</w:t>
            </w:r>
          </w:p>
        </w:tc>
        <w:tc>
          <w:tcPr>
            <w:tcW w:w="1541" w:type="dxa"/>
            <w:shd w:val="clear" w:color="auto" w:fill="FFFFFF"/>
            <w:tcMar>
              <w:top w:w="30" w:type="dxa"/>
              <w:left w:w="30" w:type="dxa"/>
              <w:bottom w:w="30" w:type="dxa"/>
              <w:right w:w="30" w:type="dxa"/>
            </w:tcMar>
          </w:tcPr>
          <w:p w:rsidR="0023051F" w:rsidRPr="0023051F" w:rsidRDefault="0023051F" w:rsidP="00D13265">
            <w:pPr>
              <w:pStyle w:val="IEEEFigureCaptionSingle-Line"/>
              <w:spacing w:before="0" w:after="0"/>
              <w:jc w:val="left"/>
              <w:rPr>
                <w:rFonts w:asciiTheme="majorBidi" w:hAnsiTheme="majorBidi" w:cstheme="majorBidi"/>
                <w:sz w:val="24"/>
              </w:rPr>
            </w:pPr>
          </w:p>
        </w:tc>
      </w:tr>
    </w:tbl>
    <w:p w:rsidR="0023051F" w:rsidRPr="0023051F" w:rsidRDefault="0023051F" w:rsidP="0023051F">
      <w:pPr>
        <w:pStyle w:val="IEEEParagraph"/>
        <w:ind w:firstLine="0"/>
        <w:rPr>
          <w:rFonts w:asciiTheme="majorBidi" w:hAnsiTheme="majorBidi" w:cstheme="majorBidi"/>
        </w:rPr>
      </w:pPr>
    </w:p>
    <w:p w:rsidR="0023051F" w:rsidRPr="0023051F" w:rsidRDefault="0023051F" w:rsidP="0023051F">
      <w:pPr>
        <w:pStyle w:val="IEEEParagraph"/>
        <w:ind w:firstLine="0"/>
        <w:rPr>
          <w:rFonts w:asciiTheme="majorBidi" w:hAnsiTheme="majorBidi" w:cstheme="majorBidi"/>
          <w:lang w:val="en-GB"/>
        </w:rPr>
      </w:pPr>
      <w:r w:rsidRPr="0023051F">
        <w:rPr>
          <w:rFonts w:asciiTheme="majorBidi" w:hAnsiTheme="majorBidi" w:cstheme="majorBidi"/>
        </w:rPr>
        <w:tab/>
        <w:t xml:space="preserve">Hasil analisis data Angka Partisipasi Kasar (APK) pada Tabel 2 menunjukan bahwa selama periode 1994-2018, jenjang SD/MI memiliki nilai rata-rata </w:t>
      </w:r>
      <w:r w:rsidRPr="0023051F">
        <w:rPr>
          <w:rFonts w:asciiTheme="majorBidi" w:hAnsiTheme="majorBidi" w:cstheme="majorBidi"/>
          <w:i/>
        </w:rPr>
        <w:t>(mean)</w:t>
      </w:r>
      <w:r w:rsidRPr="0023051F">
        <w:rPr>
          <w:rFonts w:asciiTheme="majorBidi" w:hAnsiTheme="majorBidi" w:cstheme="majorBidi"/>
        </w:rPr>
        <w:t xml:space="preserve"> APK paling tinggi yaitu 1.0785E2 (lebih dari sratus persen), sedangkan jenjang SMP/MTs sebesar 81.0466 (81,05%), selanjutnya jenjang SMA/MA sebesar 58.6520 (58,65%) sedangkan jenjang Perguruan Tinggi (PT) sebesar 15.0338 (15,03%). Selama periode 1994-2018, APK </w:t>
      </w:r>
      <w:r w:rsidRPr="0023051F">
        <w:rPr>
          <w:rFonts w:asciiTheme="majorBidi" w:hAnsiTheme="majorBidi" w:cstheme="majorBidi"/>
          <w:i/>
        </w:rPr>
        <w:t>maximum</w:t>
      </w:r>
      <w:r w:rsidRPr="0023051F">
        <w:rPr>
          <w:rFonts w:asciiTheme="majorBidi" w:hAnsiTheme="majorBidi" w:cstheme="majorBidi"/>
        </w:rPr>
        <w:t xml:space="preserve"> untuk jenjang SD/MI sebesar 111,63% dan </w:t>
      </w:r>
      <w:r w:rsidRPr="0023051F">
        <w:rPr>
          <w:rFonts w:asciiTheme="majorBidi" w:hAnsiTheme="majorBidi" w:cstheme="majorBidi"/>
          <w:i/>
        </w:rPr>
        <w:t>minimum</w:t>
      </w:r>
      <w:r w:rsidRPr="0023051F">
        <w:rPr>
          <w:rFonts w:asciiTheme="majorBidi" w:hAnsiTheme="majorBidi" w:cstheme="majorBidi"/>
        </w:rPr>
        <w:t xml:space="preserve"> sebesar 102,42%. Jenjang SMP/MTs nilai </w:t>
      </w:r>
      <w:r w:rsidRPr="0023051F">
        <w:rPr>
          <w:rFonts w:asciiTheme="majorBidi" w:hAnsiTheme="majorBidi" w:cstheme="majorBidi"/>
          <w:i/>
        </w:rPr>
        <w:t>maximum</w:t>
      </w:r>
      <w:r w:rsidRPr="0023051F">
        <w:rPr>
          <w:rFonts w:asciiTheme="majorBidi" w:hAnsiTheme="majorBidi" w:cstheme="majorBidi"/>
        </w:rPr>
        <w:t xml:space="preserve"> sebesar 91,23%,  </w:t>
      </w:r>
      <w:r w:rsidRPr="0023051F">
        <w:rPr>
          <w:rFonts w:asciiTheme="majorBidi" w:hAnsiTheme="majorBidi" w:cstheme="majorBidi"/>
          <w:i/>
        </w:rPr>
        <w:t>minimum</w:t>
      </w:r>
      <w:r w:rsidRPr="0023051F">
        <w:rPr>
          <w:rFonts w:asciiTheme="majorBidi" w:hAnsiTheme="majorBidi" w:cstheme="majorBidi"/>
        </w:rPr>
        <w:t xml:space="preserve"> sebesar 64,36%. Jenjang SMA/MA </w:t>
      </w:r>
      <w:r w:rsidRPr="0023051F">
        <w:rPr>
          <w:rFonts w:asciiTheme="majorBidi" w:hAnsiTheme="majorBidi" w:cstheme="majorBidi"/>
        </w:rPr>
        <w:lastRenderedPageBreak/>
        <w:t xml:space="preserve">nilai </w:t>
      </w:r>
      <w:r w:rsidRPr="0023051F">
        <w:rPr>
          <w:rFonts w:asciiTheme="majorBidi" w:hAnsiTheme="majorBidi" w:cstheme="majorBidi"/>
          <w:i/>
        </w:rPr>
        <w:t>maximum</w:t>
      </w:r>
      <w:r w:rsidRPr="0023051F">
        <w:rPr>
          <w:rFonts w:asciiTheme="majorBidi" w:hAnsiTheme="majorBidi" w:cstheme="majorBidi"/>
        </w:rPr>
        <w:t xml:space="preserve"> sebesar 82,25%%, </w:t>
      </w:r>
      <w:r w:rsidRPr="0023051F">
        <w:rPr>
          <w:rFonts w:asciiTheme="majorBidi" w:hAnsiTheme="majorBidi" w:cstheme="majorBidi"/>
          <w:i/>
        </w:rPr>
        <w:t>minimum</w:t>
      </w:r>
      <w:r w:rsidRPr="0023051F">
        <w:rPr>
          <w:rFonts w:asciiTheme="majorBidi" w:hAnsiTheme="majorBidi" w:cstheme="majorBidi"/>
        </w:rPr>
        <w:t xml:space="preserve"> sebesar 42,43%, sedangkan jenjang Perguruan Tinggi (PT) memperoleh nilai </w:t>
      </w:r>
      <w:r w:rsidRPr="0023051F">
        <w:rPr>
          <w:rFonts w:asciiTheme="majorBidi" w:hAnsiTheme="majorBidi" w:cstheme="majorBidi"/>
          <w:i/>
        </w:rPr>
        <w:t>maximum</w:t>
      </w:r>
      <w:r w:rsidRPr="0023051F">
        <w:rPr>
          <w:rFonts w:asciiTheme="majorBidi" w:hAnsiTheme="majorBidi" w:cstheme="majorBidi"/>
        </w:rPr>
        <w:t xml:space="preserve"> sebesar 25,76% dan nilai </w:t>
      </w:r>
      <w:r w:rsidRPr="0023051F">
        <w:rPr>
          <w:rFonts w:asciiTheme="majorBidi" w:hAnsiTheme="majorBidi" w:cstheme="majorBidi"/>
          <w:i/>
        </w:rPr>
        <w:t>minimum</w:t>
      </w:r>
      <w:r w:rsidRPr="0023051F">
        <w:rPr>
          <w:rFonts w:asciiTheme="majorBidi" w:hAnsiTheme="majorBidi" w:cstheme="majorBidi"/>
        </w:rPr>
        <w:t xml:space="preserve"> sebesar 9,55%.  Adapun berdasarkan nilai </w:t>
      </w:r>
      <w:r w:rsidRPr="0023051F">
        <w:rPr>
          <w:rFonts w:asciiTheme="majorBidi" w:hAnsiTheme="majorBidi" w:cstheme="majorBidi"/>
          <w:i/>
        </w:rPr>
        <w:t>range</w:t>
      </w:r>
      <w:r w:rsidRPr="0023051F">
        <w:rPr>
          <w:rFonts w:asciiTheme="majorBidi" w:hAnsiTheme="majorBidi" w:cstheme="majorBidi"/>
        </w:rPr>
        <w:t xml:space="preserve"> menunjukan bahwa selama periode 1994-2018 setiap pendidikan mengalami peningkatan APK yaitu: jenjang SD/MI sebesar 9,21%, jenjang SMP/MTs sebesar 26,87%, jenjang SMA/MA sebesar 39,82% dan jenjang Perguruan Tinggi (PT) meningkat sebesar 16,21%. Berdasarkan data pada </w:t>
      </w:r>
      <w:r w:rsidRPr="0023051F">
        <w:rPr>
          <w:rFonts w:asciiTheme="majorBidi" w:hAnsiTheme="majorBidi" w:cstheme="majorBidi"/>
          <w:lang w:val="en-GB"/>
        </w:rPr>
        <w:t>T</w:t>
      </w:r>
      <w:r w:rsidRPr="0023051F">
        <w:rPr>
          <w:rFonts w:asciiTheme="majorBidi" w:hAnsiTheme="majorBidi" w:cstheme="majorBidi"/>
        </w:rPr>
        <w:t>abel 2 dapat disimpulkan bahwa semakin tinggi jenjang pendidikan maka nilai rata-rata (mean) APK semakin rendah. Penjelasan lebih lanjut akan diuraikan pada bagian pembahasan.</w:t>
      </w:r>
    </w:p>
    <w:p w:rsidR="0023051F" w:rsidRPr="0023051F" w:rsidRDefault="0023051F" w:rsidP="0023051F">
      <w:pPr>
        <w:pStyle w:val="IEEEParagraph"/>
        <w:jc w:val="center"/>
        <w:rPr>
          <w:rFonts w:asciiTheme="majorBidi" w:hAnsiTheme="majorBidi" w:cstheme="majorBidi"/>
        </w:rPr>
      </w:pPr>
      <w:r w:rsidRPr="0023051F">
        <w:rPr>
          <w:rFonts w:asciiTheme="majorBidi" w:hAnsiTheme="majorBidi" w:cstheme="majorBidi"/>
        </w:rPr>
        <w:t>Tab</w:t>
      </w:r>
      <w:r w:rsidRPr="0023051F">
        <w:rPr>
          <w:rFonts w:asciiTheme="majorBidi" w:hAnsiTheme="majorBidi" w:cstheme="majorBidi"/>
          <w:lang w:val="en-GB"/>
        </w:rPr>
        <w:t>el</w:t>
      </w:r>
      <w:r w:rsidRPr="0023051F">
        <w:rPr>
          <w:rFonts w:asciiTheme="majorBidi" w:hAnsiTheme="majorBidi" w:cstheme="majorBidi"/>
        </w:rPr>
        <w:t xml:space="preserve"> 2</w:t>
      </w:r>
      <w:r w:rsidRPr="0023051F">
        <w:rPr>
          <w:rFonts w:asciiTheme="majorBidi" w:hAnsiTheme="majorBidi" w:cstheme="majorBidi"/>
          <w:lang w:val="en-GB"/>
        </w:rPr>
        <w:t>.</w:t>
      </w:r>
      <w:r w:rsidRPr="0023051F">
        <w:rPr>
          <w:rFonts w:asciiTheme="majorBidi" w:hAnsiTheme="majorBidi" w:cstheme="majorBidi"/>
        </w:rPr>
        <w:t xml:space="preserve"> Deskriptive Angka Partisipasi Kasar (APK)</w:t>
      </w:r>
    </w:p>
    <w:tbl>
      <w:tblPr>
        <w:tblW w:w="8987" w:type="dxa"/>
        <w:jc w:val="center"/>
        <w:tblInd w:w="1053" w:type="dxa"/>
        <w:tblBorders>
          <w:top w:val="single" w:sz="4" w:space="0" w:color="auto"/>
          <w:bottom w:val="single" w:sz="4" w:space="0" w:color="auto"/>
          <w:insideH w:val="single" w:sz="4" w:space="0" w:color="auto"/>
        </w:tblBorders>
        <w:tblLayout w:type="fixed"/>
        <w:tblCellMar>
          <w:left w:w="30" w:type="dxa"/>
          <w:right w:w="30" w:type="dxa"/>
        </w:tblCellMar>
        <w:tblLook w:val="0000"/>
      </w:tblPr>
      <w:tblGrid>
        <w:gridCol w:w="80"/>
        <w:gridCol w:w="2414"/>
        <w:gridCol w:w="72"/>
        <w:gridCol w:w="1357"/>
        <w:gridCol w:w="72"/>
        <w:gridCol w:w="1431"/>
        <w:gridCol w:w="72"/>
        <w:gridCol w:w="1357"/>
        <w:gridCol w:w="72"/>
        <w:gridCol w:w="1988"/>
        <w:gridCol w:w="72"/>
      </w:tblGrid>
      <w:tr w:rsidR="0023051F" w:rsidRPr="0023051F" w:rsidTr="00A90924">
        <w:trPr>
          <w:gridAfter w:val="1"/>
          <w:wAfter w:w="72" w:type="dxa"/>
          <w:cantSplit/>
          <w:trHeight w:val="190"/>
          <w:tblHeader/>
          <w:jc w:val="center"/>
        </w:trPr>
        <w:tc>
          <w:tcPr>
            <w:tcW w:w="8915" w:type="dxa"/>
            <w:gridSpan w:val="10"/>
            <w:shd w:val="clear" w:color="auto" w:fill="FFFFFF"/>
            <w:tcMar>
              <w:top w:w="30" w:type="dxa"/>
              <w:left w:w="30" w:type="dxa"/>
              <w:bottom w:w="30" w:type="dxa"/>
              <w:right w:w="30" w:type="dxa"/>
            </w:tcMar>
            <w:vAlign w:val="center"/>
          </w:tcPr>
          <w:p w:rsidR="0023051F" w:rsidRPr="0023051F" w:rsidRDefault="0023051F" w:rsidP="00D13265">
            <w:pPr>
              <w:pStyle w:val="IEEEParagraph"/>
              <w:ind w:firstLine="215"/>
              <w:jc w:val="left"/>
              <w:rPr>
                <w:rFonts w:asciiTheme="majorBidi" w:hAnsiTheme="majorBidi" w:cstheme="majorBidi"/>
              </w:rPr>
            </w:pPr>
            <w:r w:rsidRPr="0023051F">
              <w:rPr>
                <w:rFonts w:asciiTheme="majorBidi" w:hAnsiTheme="majorBidi" w:cstheme="majorBidi"/>
                <w:b/>
                <w:bCs/>
              </w:rPr>
              <w:t>Statistics</w:t>
            </w:r>
          </w:p>
        </w:tc>
      </w:tr>
      <w:tr w:rsidR="0023051F" w:rsidRPr="0023051F" w:rsidTr="00A90924">
        <w:trPr>
          <w:cantSplit/>
          <w:trHeight w:val="379"/>
          <w:tblHeader/>
          <w:jc w:val="center"/>
        </w:trPr>
        <w:tc>
          <w:tcPr>
            <w:tcW w:w="80" w:type="dxa"/>
            <w:shd w:val="clear" w:color="auto" w:fill="FFFFFF"/>
            <w:tcMar>
              <w:top w:w="30" w:type="dxa"/>
              <w:left w:w="30" w:type="dxa"/>
              <w:bottom w:w="30" w:type="dxa"/>
              <w:right w:w="30" w:type="dxa"/>
            </w:tcMar>
          </w:tcPr>
          <w:p w:rsidR="0023051F" w:rsidRPr="0023051F" w:rsidRDefault="0023051F" w:rsidP="00D13265">
            <w:pPr>
              <w:pStyle w:val="IEEEParagraph"/>
              <w:ind w:firstLine="215"/>
              <w:rPr>
                <w:rFonts w:asciiTheme="majorBidi" w:hAnsiTheme="majorBidi" w:cstheme="majorBidi"/>
              </w:rPr>
            </w:pPr>
          </w:p>
        </w:tc>
        <w:tc>
          <w:tcPr>
            <w:tcW w:w="2486" w:type="dxa"/>
            <w:gridSpan w:val="2"/>
            <w:shd w:val="clear" w:color="auto" w:fill="FFFFFF"/>
            <w:tcMar>
              <w:top w:w="30" w:type="dxa"/>
              <w:left w:w="30" w:type="dxa"/>
              <w:bottom w:w="30" w:type="dxa"/>
              <w:right w:w="30" w:type="dxa"/>
            </w:tcMar>
          </w:tcPr>
          <w:p w:rsidR="0023051F" w:rsidRPr="0023051F" w:rsidRDefault="0023051F" w:rsidP="00D13265">
            <w:pPr>
              <w:pStyle w:val="IEEEParagraph"/>
              <w:ind w:firstLine="215"/>
              <w:rPr>
                <w:rFonts w:asciiTheme="majorBidi" w:hAnsiTheme="majorBidi" w:cstheme="majorBidi"/>
              </w:rPr>
            </w:pPr>
          </w:p>
        </w:tc>
        <w:tc>
          <w:tcPr>
            <w:tcW w:w="1429" w:type="dxa"/>
            <w:gridSpan w:val="2"/>
            <w:shd w:val="clear" w:color="auto" w:fill="FFFFFF"/>
            <w:tcMar>
              <w:top w:w="30" w:type="dxa"/>
              <w:left w:w="30" w:type="dxa"/>
              <w:bottom w:w="30" w:type="dxa"/>
              <w:right w:w="30" w:type="dxa"/>
            </w:tcMar>
            <w:vAlign w:val="bottom"/>
          </w:tcPr>
          <w:p w:rsidR="0023051F" w:rsidRPr="0023051F" w:rsidRDefault="0023051F" w:rsidP="00D13265">
            <w:pPr>
              <w:pStyle w:val="IEEEParagraph"/>
              <w:ind w:firstLine="215"/>
              <w:jc w:val="center"/>
              <w:rPr>
                <w:rFonts w:asciiTheme="majorBidi" w:hAnsiTheme="majorBidi" w:cstheme="majorBidi"/>
              </w:rPr>
            </w:pPr>
            <w:r w:rsidRPr="0023051F">
              <w:rPr>
                <w:rFonts w:asciiTheme="majorBidi" w:hAnsiTheme="majorBidi" w:cstheme="majorBidi"/>
              </w:rPr>
              <w:t>SD/MI</w:t>
            </w:r>
          </w:p>
        </w:tc>
        <w:tc>
          <w:tcPr>
            <w:tcW w:w="1503" w:type="dxa"/>
            <w:gridSpan w:val="2"/>
            <w:shd w:val="clear" w:color="auto" w:fill="FFFFFF"/>
            <w:tcMar>
              <w:top w:w="30" w:type="dxa"/>
              <w:left w:w="30" w:type="dxa"/>
              <w:bottom w:w="30" w:type="dxa"/>
              <w:right w:w="30" w:type="dxa"/>
            </w:tcMar>
            <w:vAlign w:val="bottom"/>
          </w:tcPr>
          <w:p w:rsidR="0023051F" w:rsidRPr="0023051F" w:rsidRDefault="0023051F" w:rsidP="00D13265">
            <w:pPr>
              <w:pStyle w:val="IEEEParagraph"/>
              <w:ind w:firstLine="215"/>
              <w:jc w:val="center"/>
              <w:rPr>
                <w:rFonts w:asciiTheme="majorBidi" w:hAnsiTheme="majorBidi" w:cstheme="majorBidi"/>
              </w:rPr>
            </w:pPr>
            <w:r w:rsidRPr="0023051F">
              <w:rPr>
                <w:rFonts w:asciiTheme="majorBidi" w:hAnsiTheme="majorBidi" w:cstheme="majorBidi"/>
              </w:rPr>
              <w:t>SMP/MTs</w:t>
            </w:r>
          </w:p>
        </w:tc>
        <w:tc>
          <w:tcPr>
            <w:tcW w:w="1429" w:type="dxa"/>
            <w:gridSpan w:val="2"/>
            <w:shd w:val="clear" w:color="auto" w:fill="FFFFFF"/>
            <w:tcMar>
              <w:top w:w="30" w:type="dxa"/>
              <w:left w:w="30" w:type="dxa"/>
              <w:bottom w:w="30" w:type="dxa"/>
              <w:right w:w="30" w:type="dxa"/>
            </w:tcMar>
            <w:vAlign w:val="bottom"/>
          </w:tcPr>
          <w:p w:rsidR="0023051F" w:rsidRPr="0023051F" w:rsidRDefault="0023051F" w:rsidP="00D13265">
            <w:pPr>
              <w:pStyle w:val="IEEEParagraph"/>
              <w:ind w:firstLine="215"/>
              <w:jc w:val="center"/>
              <w:rPr>
                <w:rFonts w:asciiTheme="majorBidi" w:hAnsiTheme="majorBidi" w:cstheme="majorBidi"/>
              </w:rPr>
            </w:pPr>
            <w:r w:rsidRPr="0023051F">
              <w:rPr>
                <w:rFonts w:asciiTheme="majorBidi" w:hAnsiTheme="majorBidi" w:cstheme="majorBidi"/>
              </w:rPr>
              <w:t>SMA/MA</w:t>
            </w:r>
          </w:p>
        </w:tc>
        <w:tc>
          <w:tcPr>
            <w:tcW w:w="2060" w:type="dxa"/>
            <w:gridSpan w:val="2"/>
            <w:shd w:val="clear" w:color="auto" w:fill="FFFFFF"/>
            <w:tcMar>
              <w:top w:w="30" w:type="dxa"/>
              <w:left w:w="30" w:type="dxa"/>
              <w:bottom w:w="30" w:type="dxa"/>
              <w:right w:w="30" w:type="dxa"/>
            </w:tcMar>
            <w:vAlign w:val="bottom"/>
          </w:tcPr>
          <w:p w:rsidR="0023051F" w:rsidRPr="0023051F" w:rsidRDefault="0023051F" w:rsidP="00D13265">
            <w:pPr>
              <w:pStyle w:val="IEEEParagraph"/>
              <w:ind w:firstLine="215"/>
              <w:jc w:val="center"/>
              <w:rPr>
                <w:rFonts w:asciiTheme="majorBidi" w:hAnsiTheme="majorBidi" w:cstheme="majorBidi"/>
              </w:rPr>
            </w:pPr>
            <w:r w:rsidRPr="0023051F">
              <w:rPr>
                <w:rFonts w:asciiTheme="majorBidi" w:hAnsiTheme="majorBidi" w:cstheme="majorBidi"/>
              </w:rPr>
              <w:t>Perguruan Tinggi</w:t>
            </w:r>
          </w:p>
        </w:tc>
      </w:tr>
      <w:tr w:rsidR="0023051F" w:rsidRPr="0023051F" w:rsidTr="00A90924">
        <w:trPr>
          <w:cantSplit/>
          <w:trHeight w:val="208"/>
          <w:tblHeader/>
          <w:jc w:val="center"/>
        </w:trPr>
        <w:tc>
          <w:tcPr>
            <w:tcW w:w="80" w:type="dxa"/>
            <w:vMerge w:val="restart"/>
            <w:shd w:val="clear" w:color="auto" w:fill="FFFFFF"/>
            <w:tcMar>
              <w:top w:w="30" w:type="dxa"/>
              <w:left w:w="30" w:type="dxa"/>
              <w:bottom w:w="30" w:type="dxa"/>
              <w:right w:w="30" w:type="dxa"/>
            </w:tcMar>
          </w:tcPr>
          <w:p w:rsidR="0023051F" w:rsidRPr="0023051F" w:rsidRDefault="0023051F" w:rsidP="00D13265">
            <w:pPr>
              <w:pStyle w:val="IEEEParagraph"/>
              <w:ind w:firstLine="215"/>
              <w:rPr>
                <w:rFonts w:asciiTheme="majorBidi" w:hAnsiTheme="majorBidi" w:cstheme="majorBidi"/>
              </w:rPr>
            </w:pPr>
            <w:r w:rsidRPr="0023051F">
              <w:rPr>
                <w:rFonts w:asciiTheme="majorBidi" w:hAnsiTheme="majorBidi" w:cstheme="majorBidi"/>
              </w:rPr>
              <w:t>N</w:t>
            </w:r>
          </w:p>
        </w:tc>
        <w:tc>
          <w:tcPr>
            <w:tcW w:w="2486" w:type="dxa"/>
            <w:gridSpan w:val="2"/>
            <w:shd w:val="clear" w:color="auto" w:fill="FFFFFF"/>
            <w:tcMar>
              <w:top w:w="30" w:type="dxa"/>
              <w:left w:w="30" w:type="dxa"/>
              <w:bottom w:w="30" w:type="dxa"/>
              <w:right w:w="30" w:type="dxa"/>
            </w:tcMar>
          </w:tcPr>
          <w:p w:rsidR="0023051F" w:rsidRPr="0023051F" w:rsidRDefault="0023051F" w:rsidP="00D13265">
            <w:pPr>
              <w:pStyle w:val="IEEEParagraph"/>
              <w:ind w:firstLine="215"/>
              <w:rPr>
                <w:rFonts w:asciiTheme="majorBidi" w:hAnsiTheme="majorBidi" w:cstheme="majorBidi"/>
              </w:rPr>
            </w:pPr>
            <w:r w:rsidRPr="0023051F">
              <w:rPr>
                <w:rFonts w:asciiTheme="majorBidi" w:hAnsiTheme="majorBidi" w:cstheme="majorBidi"/>
              </w:rPr>
              <w:t>Valid</w:t>
            </w:r>
          </w:p>
        </w:tc>
        <w:tc>
          <w:tcPr>
            <w:tcW w:w="1429" w:type="dxa"/>
            <w:gridSpan w:val="2"/>
            <w:shd w:val="clear" w:color="auto" w:fill="FFFFFF"/>
            <w:tcMar>
              <w:top w:w="30" w:type="dxa"/>
              <w:left w:w="30" w:type="dxa"/>
              <w:bottom w:w="30" w:type="dxa"/>
              <w:right w:w="30" w:type="dxa"/>
            </w:tcMar>
            <w:vAlign w:val="center"/>
          </w:tcPr>
          <w:p w:rsidR="0023051F" w:rsidRPr="0023051F" w:rsidRDefault="0023051F" w:rsidP="00D13265">
            <w:pPr>
              <w:pStyle w:val="IEEEParagraph"/>
              <w:ind w:firstLine="215"/>
              <w:jc w:val="center"/>
              <w:rPr>
                <w:rFonts w:asciiTheme="majorBidi" w:hAnsiTheme="majorBidi" w:cstheme="majorBidi"/>
              </w:rPr>
            </w:pPr>
            <w:r w:rsidRPr="0023051F">
              <w:rPr>
                <w:rFonts w:asciiTheme="majorBidi" w:hAnsiTheme="majorBidi" w:cstheme="majorBidi"/>
              </w:rPr>
              <w:t>25</w:t>
            </w:r>
          </w:p>
        </w:tc>
        <w:tc>
          <w:tcPr>
            <w:tcW w:w="1503" w:type="dxa"/>
            <w:gridSpan w:val="2"/>
            <w:shd w:val="clear" w:color="auto" w:fill="FFFFFF"/>
            <w:tcMar>
              <w:top w:w="30" w:type="dxa"/>
              <w:left w:w="30" w:type="dxa"/>
              <w:bottom w:w="30" w:type="dxa"/>
              <w:right w:w="30" w:type="dxa"/>
            </w:tcMar>
            <w:vAlign w:val="center"/>
          </w:tcPr>
          <w:p w:rsidR="0023051F" w:rsidRPr="0023051F" w:rsidRDefault="0023051F" w:rsidP="00D13265">
            <w:pPr>
              <w:pStyle w:val="IEEEParagraph"/>
              <w:ind w:firstLine="215"/>
              <w:jc w:val="center"/>
              <w:rPr>
                <w:rFonts w:asciiTheme="majorBidi" w:hAnsiTheme="majorBidi" w:cstheme="majorBidi"/>
              </w:rPr>
            </w:pPr>
            <w:r w:rsidRPr="0023051F">
              <w:rPr>
                <w:rFonts w:asciiTheme="majorBidi" w:hAnsiTheme="majorBidi" w:cstheme="majorBidi"/>
              </w:rPr>
              <w:t>25</w:t>
            </w:r>
          </w:p>
        </w:tc>
        <w:tc>
          <w:tcPr>
            <w:tcW w:w="1429" w:type="dxa"/>
            <w:gridSpan w:val="2"/>
            <w:shd w:val="clear" w:color="auto" w:fill="FFFFFF"/>
            <w:tcMar>
              <w:top w:w="30" w:type="dxa"/>
              <w:left w:w="30" w:type="dxa"/>
              <w:bottom w:w="30" w:type="dxa"/>
              <w:right w:w="30" w:type="dxa"/>
            </w:tcMar>
            <w:vAlign w:val="center"/>
          </w:tcPr>
          <w:p w:rsidR="0023051F" w:rsidRPr="0023051F" w:rsidRDefault="0023051F" w:rsidP="00D13265">
            <w:pPr>
              <w:pStyle w:val="IEEEParagraph"/>
              <w:ind w:firstLine="215"/>
              <w:jc w:val="center"/>
              <w:rPr>
                <w:rFonts w:asciiTheme="majorBidi" w:hAnsiTheme="majorBidi" w:cstheme="majorBidi"/>
              </w:rPr>
            </w:pPr>
            <w:r w:rsidRPr="0023051F">
              <w:rPr>
                <w:rFonts w:asciiTheme="majorBidi" w:hAnsiTheme="majorBidi" w:cstheme="majorBidi"/>
              </w:rPr>
              <w:t>25</w:t>
            </w:r>
          </w:p>
        </w:tc>
        <w:tc>
          <w:tcPr>
            <w:tcW w:w="2060" w:type="dxa"/>
            <w:gridSpan w:val="2"/>
            <w:shd w:val="clear" w:color="auto" w:fill="FFFFFF"/>
            <w:tcMar>
              <w:top w:w="30" w:type="dxa"/>
              <w:left w:w="30" w:type="dxa"/>
              <w:bottom w:w="30" w:type="dxa"/>
              <w:right w:w="30" w:type="dxa"/>
            </w:tcMar>
            <w:vAlign w:val="center"/>
          </w:tcPr>
          <w:p w:rsidR="0023051F" w:rsidRPr="0023051F" w:rsidRDefault="0023051F" w:rsidP="00D13265">
            <w:pPr>
              <w:pStyle w:val="IEEEParagraph"/>
              <w:ind w:firstLine="215"/>
              <w:jc w:val="center"/>
              <w:rPr>
                <w:rFonts w:asciiTheme="majorBidi" w:hAnsiTheme="majorBidi" w:cstheme="majorBidi"/>
              </w:rPr>
            </w:pPr>
            <w:r w:rsidRPr="0023051F">
              <w:rPr>
                <w:rFonts w:asciiTheme="majorBidi" w:hAnsiTheme="majorBidi" w:cstheme="majorBidi"/>
              </w:rPr>
              <w:t>25</w:t>
            </w:r>
          </w:p>
        </w:tc>
      </w:tr>
      <w:tr w:rsidR="0023051F" w:rsidRPr="0023051F" w:rsidTr="00A90924">
        <w:trPr>
          <w:cantSplit/>
          <w:trHeight w:val="87"/>
          <w:tblHeader/>
          <w:jc w:val="center"/>
        </w:trPr>
        <w:tc>
          <w:tcPr>
            <w:tcW w:w="80" w:type="dxa"/>
            <w:vMerge/>
            <w:shd w:val="clear" w:color="auto" w:fill="FFFFFF"/>
            <w:tcMar>
              <w:top w:w="30" w:type="dxa"/>
              <w:left w:w="30" w:type="dxa"/>
              <w:bottom w:w="30" w:type="dxa"/>
              <w:right w:w="30" w:type="dxa"/>
            </w:tcMar>
          </w:tcPr>
          <w:p w:rsidR="0023051F" w:rsidRPr="0023051F" w:rsidRDefault="0023051F" w:rsidP="00D13265">
            <w:pPr>
              <w:pStyle w:val="IEEEParagraph"/>
              <w:ind w:firstLine="215"/>
              <w:rPr>
                <w:rFonts w:asciiTheme="majorBidi" w:hAnsiTheme="majorBidi" w:cstheme="majorBidi"/>
              </w:rPr>
            </w:pPr>
          </w:p>
        </w:tc>
        <w:tc>
          <w:tcPr>
            <w:tcW w:w="2486" w:type="dxa"/>
            <w:gridSpan w:val="2"/>
            <w:shd w:val="clear" w:color="auto" w:fill="FFFFFF"/>
            <w:tcMar>
              <w:top w:w="30" w:type="dxa"/>
              <w:left w:w="30" w:type="dxa"/>
              <w:bottom w:w="30" w:type="dxa"/>
              <w:right w:w="30" w:type="dxa"/>
            </w:tcMar>
          </w:tcPr>
          <w:p w:rsidR="0023051F" w:rsidRPr="0023051F" w:rsidRDefault="0023051F" w:rsidP="00D13265">
            <w:pPr>
              <w:pStyle w:val="IEEEParagraph"/>
              <w:ind w:firstLine="215"/>
              <w:rPr>
                <w:rFonts w:asciiTheme="majorBidi" w:hAnsiTheme="majorBidi" w:cstheme="majorBidi"/>
              </w:rPr>
            </w:pPr>
            <w:r w:rsidRPr="0023051F">
              <w:rPr>
                <w:rFonts w:asciiTheme="majorBidi" w:hAnsiTheme="majorBidi" w:cstheme="majorBidi"/>
              </w:rPr>
              <w:t>Missing</w:t>
            </w:r>
          </w:p>
        </w:tc>
        <w:tc>
          <w:tcPr>
            <w:tcW w:w="1429" w:type="dxa"/>
            <w:gridSpan w:val="2"/>
            <w:shd w:val="clear" w:color="auto" w:fill="FFFFFF"/>
            <w:tcMar>
              <w:top w:w="30" w:type="dxa"/>
              <w:left w:w="30" w:type="dxa"/>
              <w:bottom w:w="30" w:type="dxa"/>
              <w:right w:w="30" w:type="dxa"/>
            </w:tcMar>
            <w:vAlign w:val="center"/>
          </w:tcPr>
          <w:p w:rsidR="0023051F" w:rsidRPr="0023051F" w:rsidRDefault="0023051F" w:rsidP="00D13265">
            <w:pPr>
              <w:pStyle w:val="IEEEParagraph"/>
              <w:ind w:firstLine="215"/>
              <w:jc w:val="center"/>
              <w:rPr>
                <w:rFonts w:asciiTheme="majorBidi" w:hAnsiTheme="majorBidi" w:cstheme="majorBidi"/>
              </w:rPr>
            </w:pPr>
            <w:r w:rsidRPr="0023051F">
              <w:rPr>
                <w:rFonts w:asciiTheme="majorBidi" w:hAnsiTheme="majorBidi" w:cstheme="majorBidi"/>
              </w:rPr>
              <w:t>0</w:t>
            </w:r>
          </w:p>
        </w:tc>
        <w:tc>
          <w:tcPr>
            <w:tcW w:w="1503" w:type="dxa"/>
            <w:gridSpan w:val="2"/>
            <w:shd w:val="clear" w:color="auto" w:fill="FFFFFF"/>
            <w:tcMar>
              <w:top w:w="30" w:type="dxa"/>
              <w:left w:w="30" w:type="dxa"/>
              <w:bottom w:w="30" w:type="dxa"/>
              <w:right w:w="30" w:type="dxa"/>
            </w:tcMar>
            <w:vAlign w:val="center"/>
          </w:tcPr>
          <w:p w:rsidR="0023051F" w:rsidRPr="0023051F" w:rsidRDefault="0023051F" w:rsidP="00D13265">
            <w:pPr>
              <w:pStyle w:val="IEEEParagraph"/>
              <w:ind w:firstLine="215"/>
              <w:jc w:val="center"/>
              <w:rPr>
                <w:rFonts w:asciiTheme="majorBidi" w:hAnsiTheme="majorBidi" w:cstheme="majorBidi"/>
              </w:rPr>
            </w:pPr>
            <w:r w:rsidRPr="0023051F">
              <w:rPr>
                <w:rFonts w:asciiTheme="majorBidi" w:hAnsiTheme="majorBidi" w:cstheme="majorBidi"/>
              </w:rPr>
              <w:t>0</w:t>
            </w:r>
          </w:p>
        </w:tc>
        <w:tc>
          <w:tcPr>
            <w:tcW w:w="1429" w:type="dxa"/>
            <w:gridSpan w:val="2"/>
            <w:shd w:val="clear" w:color="auto" w:fill="FFFFFF"/>
            <w:tcMar>
              <w:top w:w="30" w:type="dxa"/>
              <w:left w:w="30" w:type="dxa"/>
              <w:bottom w:w="30" w:type="dxa"/>
              <w:right w:w="30" w:type="dxa"/>
            </w:tcMar>
            <w:vAlign w:val="center"/>
          </w:tcPr>
          <w:p w:rsidR="0023051F" w:rsidRPr="0023051F" w:rsidRDefault="0023051F" w:rsidP="00D13265">
            <w:pPr>
              <w:pStyle w:val="IEEEParagraph"/>
              <w:ind w:firstLine="215"/>
              <w:jc w:val="center"/>
              <w:rPr>
                <w:rFonts w:asciiTheme="majorBidi" w:hAnsiTheme="majorBidi" w:cstheme="majorBidi"/>
              </w:rPr>
            </w:pPr>
            <w:r w:rsidRPr="0023051F">
              <w:rPr>
                <w:rFonts w:asciiTheme="majorBidi" w:hAnsiTheme="majorBidi" w:cstheme="majorBidi"/>
              </w:rPr>
              <w:t>0</w:t>
            </w:r>
          </w:p>
        </w:tc>
        <w:tc>
          <w:tcPr>
            <w:tcW w:w="2060" w:type="dxa"/>
            <w:gridSpan w:val="2"/>
            <w:shd w:val="clear" w:color="auto" w:fill="FFFFFF"/>
            <w:tcMar>
              <w:top w:w="30" w:type="dxa"/>
              <w:left w:w="30" w:type="dxa"/>
              <w:bottom w:w="30" w:type="dxa"/>
              <w:right w:w="30" w:type="dxa"/>
            </w:tcMar>
            <w:vAlign w:val="center"/>
          </w:tcPr>
          <w:p w:rsidR="0023051F" w:rsidRPr="0023051F" w:rsidRDefault="0023051F" w:rsidP="00D13265">
            <w:pPr>
              <w:pStyle w:val="IEEEParagraph"/>
              <w:ind w:firstLine="215"/>
              <w:jc w:val="center"/>
              <w:rPr>
                <w:rFonts w:asciiTheme="majorBidi" w:hAnsiTheme="majorBidi" w:cstheme="majorBidi"/>
              </w:rPr>
            </w:pPr>
            <w:r w:rsidRPr="0023051F">
              <w:rPr>
                <w:rFonts w:asciiTheme="majorBidi" w:hAnsiTheme="majorBidi" w:cstheme="majorBidi"/>
              </w:rPr>
              <w:t>0</w:t>
            </w:r>
          </w:p>
        </w:tc>
      </w:tr>
      <w:tr w:rsidR="0023051F" w:rsidRPr="0023051F" w:rsidTr="00A90924">
        <w:trPr>
          <w:gridAfter w:val="1"/>
          <w:wAfter w:w="72" w:type="dxa"/>
          <w:cantSplit/>
          <w:trHeight w:val="190"/>
          <w:tblHeader/>
          <w:jc w:val="center"/>
        </w:trPr>
        <w:tc>
          <w:tcPr>
            <w:tcW w:w="2494" w:type="dxa"/>
            <w:gridSpan w:val="2"/>
            <w:shd w:val="clear" w:color="auto" w:fill="FFFFFF"/>
            <w:tcMar>
              <w:top w:w="30" w:type="dxa"/>
              <w:left w:w="30" w:type="dxa"/>
              <w:bottom w:w="30" w:type="dxa"/>
              <w:right w:w="30" w:type="dxa"/>
            </w:tcMar>
          </w:tcPr>
          <w:p w:rsidR="0023051F" w:rsidRPr="0023051F" w:rsidRDefault="0023051F" w:rsidP="00D13265">
            <w:pPr>
              <w:pStyle w:val="IEEEParagraph"/>
              <w:ind w:firstLine="215"/>
              <w:rPr>
                <w:rFonts w:asciiTheme="majorBidi" w:hAnsiTheme="majorBidi" w:cstheme="majorBidi"/>
              </w:rPr>
            </w:pPr>
            <w:r w:rsidRPr="0023051F">
              <w:rPr>
                <w:rFonts w:asciiTheme="majorBidi" w:hAnsiTheme="majorBidi" w:cstheme="majorBidi"/>
              </w:rPr>
              <w:t>Mean</w:t>
            </w:r>
          </w:p>
        </w:tc>
        <w:tc>
          <w:tcPr>
            <w:tcW w:w="1429" w:type="dxa"/>
            <w:gridSpan w:val="2"/>
            <w:shd w:val="clear" w:color="auto" w:fill="FFFFFF"/>
            <w:tcMar>
              <w:top w:w="30" w:type="dxa"/>
              <w:left w:w="30" w:type="dxa"/>
              <w:bottom w:w="30" w:type="dxa"/>
              <w:right w:w="30" w:type="dxa"/>
            </w:tcMar>
            <w:vAlign w:val="center"/>
          </w:tcPr>
          <w:p w:rsidR="0023051F" w:rsidRPr="0023051F" w:rsidRDefault="0023051F" w:rsidP="00D13265">
            <w:pPr>
              <w:pStyle w:val="IEEEParagraph"/>
              <w:ind w:firstLine="215"/>
              <w:jc w:val="center"/>
              <w:rPr>
                <w:rFonts w:asciiTheme="majorBidi" w:hAnsiTheme="majorBidi" w:cstheme="majorBidi"/>
              </w:rPr>
            </w:pPr>
            <w:r w:rsidRPr="0023051F">
              <w:rPr>
                <w:rFonts w:asciiTheme="majorBidi" w:hAnsiTheme="majorBidi" w:cstheme="majorBidi"/>
              </w:rPr>
              <w:t>1.0785E2</w:t>
            </w:r>
          </w:p>
        </w:tc>
        <w:tc>
          <w:tcPr>
            <w:tcW w:w="1503" w:type="dxa"/>
            <w:gridSpan w:val="2"/>
            <w:shd w:val="clear" w:color="auto" w:fill="FFFFFF"/>
            <w:tcMar>
              <w:top w:w="30" w:type="dxa"/>
              <w:left w:w="30" w:type="dxa"/>
              <w:bottom w:w="30" w:type="dxa"/>
              <w:right w:w="30" w:type="dxa"/>
            </w:tcMar>
            <w:vAlign w:val="center"/>
          </w:tcPr>
          <w:p w:rsidR="0023051F" w:rsidRPr="0023051F" w:rsidRDefault="0023051F" w:rsidP="00D13265">
            <w:pPr>
              <w:pStyle w:val="IEEEParagraph"/>
              <w:ind w:firstLine="215"/>
              <w:jc w:val="center"/>
              <w:rPr>
                <w:rFonts w:asciiTheme="majorBidi" w:hAnsiTheme="majorBidi" w:cstheme="majorBidi"/>
              </w:rPr>
            </w:pPr>
            <w:r w:rsidRPr="0023051F">
              <w:rPr>
                <w:rFonts w:asciiTheme="majorBidi" w:hAnsiTheme="majorBidi" w:cstheme="majorBidi"/>
              </w:rPr>
              <w:t>81.0466</w:t>
            </w:r>
          </w:p>
        </w:tc>
        <w:tc>
          <w:tcPr>
            <w:tcW w:w="1429" w:type="dxa"/>
            <w:gridSpan w:val="2"/>
            <w:shd w:val="clear" w:color="auto" w:fill="FFFFFF"/>
            <w:tcMar>
              <w:top w:w="30" w:type="dxa"/>
              <w:left w:w="30" w:type="dxa"/>
              <w:bottom w:w="30" w:type="dxa"/>
              <w:right w:w="30" w:type="dxa"/>
            </w:tcMar>
            <w:vAlign w:val="center"/>
          </w:tcPr>
          <w:p w:rsidR="0023051F" w:rsidRPr="0023051F" w:rsidRDefault="0023051F" w:rsidP="00D13265">
            <w:pPr>
              <w:pStyle w:val="IEEEParagraph"/>
              <w:ind w:firstLine="215"/>
              <w:jc w:val="center"/>
              <w:rPr>
                <w:rFonts w:asciiTheme="majorBidi" w:hAnsiTheme="majorBidi" w:cstheme="majorBidi"/>
              </w:rPr>
            </w:pPr>
            <w:r w:rsidRPr="0023051F">
              <w:rPr>
                <w:rFonts w:asciiTheme="majorBidi" w:hAnsiTheme="majorBidi" w:cstheme="majorBidi"/>
              </w:rPr>
              <w:t>58.6520</w:t>
            </w:r>
          </w:p>
        </w:tc>
        <w:tc>
          <w:tcPr>
            <w:tcW w:w="2060" w:type="dxa"/>
            <w:gridSpan w:val="2"/>
            <w:shd w:val="clear" w:color="auto" w:fill="FFFFFF"/>
            <w:tcMar>
              <w:top w:w="30" w:type="dxa"/>
              <w:left w:w="30" w:type="dxa"/>
              <w:bottom w:w="30" w:type="dxa"/>
              <w:right w:w="30" w:type="dxa"/>
            </w:tcMar>
            <w:vAlign w:val="center"/>
          </w:tcPr>
          <w:p w:rsidR="0023051F" w:rsidRPr="0023051F" w:rsidRDefault="0023051F" w:rsidP="00D13265">
            <w:pPr>
              <w:pStyle w:val="IEEEParagraph"/>
              <w:ind w:firstLine="215"/>
              <w:jc w:val="center"/>
              <w:rPr>
                <w:rFonts w:asciiTheme="majorBidi" w:hAnsiTheme="majorBidi" w:cstheme="majorBidi"/>
              </w:rPr>
            </w:pPr>
            <w:r w:rsidRPr="0023051F">
              <w:rPr>
                <w:rFonts w:asciiTheme="majorBidi" w:hAnsiTheme="majorBidi" w:cstheme="majorBidi"/>
              </w:rPr>
              <w:t>15.0338</w:t>
            </w:r>
          </w:p>
        </w:tc>
      </w:tr>
      <w:tr w:rsidR="0023051F" w:rsidRPr="0023051F" w:rsidTr="00A90924">
        <w:trPr>
          <w:gridAfter w:val="1"/>
          <w:wAfter w:w="72" w:type="dxa"/>
          <w:cantSplit/>
          <w:trHeight w:val="190"/>
          <w:tblHeader/>
          <w:jc w:val="center"/>
        </w:trPr>
        <w:tc>
          <w:tcPr>
            <w:tcW w:w="2494" w:type="dxa"/>
            <w:gridSpan w:val="2"/>
            <w:shd w:val="clear" w:color="auto" w:fill="FFFFFF"/>
            <w:tcMar>
              <w:top w:w="30" w:type="dxa"/>
              <w:left w:w="30" w:type="dxa"/>
              <w:bottom w:w="30" w:type="dxa"/>
              <w:right w:w="30" w:type="dxa"/>
            </w:tcMar>
          </w:tcPr>
          <w:p w:rsidR="0023051F" w:rsidRPr="0023051F" w:rsidRDefault="0023051F" w:rsidP="00D13265">
            <w:pPr>
              <w:pStyle w:val="IEEEParagraph"/>
              <w:ind w:firstLine="215"/>
              <w:rPr>
                <w:rFonts w:asciiTheme="majorBidi" w:hAnsiTheme="majorBidi" w:cstheme="majorBidi"/>
              </w:rPr>
            </w:pPr>
            <w:r w:rsidRPr="0023051F">
              <w:rPr>
                <w:rFonts w:asciiTheme="majorBidi" w:hAnsiTheme="majorBidi" w:cstheme="majorBidi"/>
              </w:rPr>
              <w:t>Std. Error of Mean</w:t>
            </w:r>
          </w:p>
        </w:tc>
        <w:tc>
          <w:tcPr>
            <w:tcW w:w="1429" w:type="dxa"/>
            <w:gridSpan w:val="2"/>
            <w:shd w:val="clear" w:color="auto" w:fill="FFFFFF"/>
            <w:tcMar>
              <w:top w:w="30" w:type="dxa"/>
              <w:left w:w="30" w:type="dxa"/>
              <w:bottom w:w="30" w:type="dxa"/>
              <w:right w:w="30" w:type="dxa"/>
            </w:tcMar>
            <w:vAlign w:val="center"/>
          </w:tcPr>
          <w:p w:rsidR="0023051F" w:rsidRPr="0023051F" w:rsidRDefault="0023051F" w:rsidP="00D13265">
            <w:pPr>
              <w:pStyle w:val="IEEEParagraph"/>
              <w:ind w:firstLine="215"/>
              <w:jc w:val="center"/>
              <w:rPr>
                <w:rFonts w:asciiTheme="majorBidi" w:hAnsiTheme="majorBidi" w:cstheme="majorBidi"/>
              </w:rPr>
            </w:pPr>
            <w:r w:rsidRPr="0023051F">
              <w:rPr>
                <w:rFonts w:asciiTheme="majorBidi" w:hAnsiTheme="majorBidi" w:cstheme="majorBidi"/>
              </w:rPr>
              <w:t>.39983</w:t>
            </w:r>
          </w:p>
        </w:tc>
        <w:tc>
          <w:tcPr>
            <w:tcW w:w="1503" w:type="dxa"/>
            <w:gridSpan w:val="2"/>
            <w:shd w:val="clear" w:color="auto" w:fill="FFFFFF"/>
            <w:tcMar>
              <w:top w:w="30" w:type="dxa"/>
              <w:left w:w="30" w:type="dxa"/>
              <w:bottom w:w="30" w:type="dxa"/>
              <w:right w:w="30" w:type="dxa"/>
            </w:tcMar>
            <w:vAlign w:val="center"/>
          </w:tcPr>
          <w:p w:rsidR="0023051F" w:rsidRPr="0023051F" w:rsidRDefault="0023051F" w:rsidP="00D13265">
            <w:pPr>
              <w:pStyle w:val="IEEEParagraph"/>
              <w:ind w:firstLine="215"/>
              <w:jc w:val="center"/>
              <w:rPr>
                <w:rFonts w:asciiTheme="majorBidi" w:hAnsiTheme="majorBidi" w:cstheme="majorBidi"/>
              </w:rPr>
            </w:pPr>
            <w:r w:rsidRPr="0023051F">
              <w:rPr>
                <w:rFonts w:asciiTheme="majorBidi" w:hAnsiTheme="majorBidi" w:cstheme="majorBidi"/>
              </w:rPr>
              <w:t>1.50416</w:t>
            </w:r>
          </w:p>
        </w:tc>
        <w:tc>
          <w:tcPr>
            <w:tcW w:w="1429" w:type="dxa"/>
            <w:gridSpan w:val="2"/>
            <w:shd w:val="clear" w:color="auto" w:fill="FFFFFF"/>
            <w:tcMar>
              <w:top w:w="30" w:type="dxa"/>
              <w:left w:w="30" w:type="dxa"/>
              <w:bottom w:w="30" w:type="dxa"/>
              <w:right w:w="30" w:type="dxa"/>
            </w:tcMar>
            <w:vAlign w:val="center"/>
          </w:tcPr>
          <w:p w:rsidR="0023051F" w:rsidRPr="0023051F" w:rsidRDefault="0023051F" w:rsidP="00D13265">
            <w:pPr>
              <w:pStyle w:val="IEEEParagraph"/>
              <w:ind w:firstLine="215"/>
              <w:jc w:val="center"/>
              <w:rPr>
                <w:rFonts w:asciiTheme="majorBidi" w:hAnsiTheme="majorBidi" w:cstheme="majorBidi"/>
              </w:rPr>
            </w:pPr>
            <w:r w:rsidRPr="0023051F">
              <w:rPr>
                <w:rFonts w:asciiTheme="majorBidi" w:hAnsiTheme="majorBidi" w:cstheme="majorBidi"/>
              </w:rPr>
              <w:t>2.51744</w:t>
            </w:r>
          </w:p>
        </w:tc>
        <w:tc>
          <w:tcPr>
            <w:tcW w:w="2060" w:type="dxa"/>
            <w:gridSpan w:val="2"/>
            <w:shd w:val="clear" w:color="auto" w:fill="FFFFFF"/>
            <w:tcMar>
              <w:top w:w="30" w:type="dxa"/>
              <w:left w:w="30" w:type="dxa"/>
              <w:bottom w:w="30" w:type="dxa"/>
              <w:right w:w="30" w:type="dxa"/>
            </w:tcMar>
            <w:vAlign w:val="center"/>
          </w:tcPr>
          <w:p w:rsidR="0023051F" w:rsidRPr="0023051F" w:rsidRDefault="0023051F" w:rsidP="00D13265">
            <w:pPr>
              <w:pStyle w:val="IEEEParagraph"/>
              <w:ind w:firstLine="215"/>
              <w:jc w:val="center"/>
              <w:rPr>
                <w:rFonts w:asciiTheme="majorBidi" w:hAnsiTheme="majorBidi" w:cstheme="majorBidi"/>
              </w:rPr>
            </w:pPr>
            <w:r w:rsidRPr="0023051F">
              <w:rPr>
                <w:rFonts w:asciiTheme="majorBidi" w:hAnsiTheme="majorBidi" w:cstheme="majorBidi"/>
              </w:rPr>
              <w:t>1.14161</w:t>
            </w:r>
          </w:p>
        </w:tc>
      </w:tr>
      <w:tr w:rsidR="0023051F" w:rsidRPr="0023051F" w:rsidTr="00A90924">
        <w:trPr>
          <w:gridAfter w:val="1"/>
          <w:wAfter w:w="72" w:type="dxa"/>
          <w:cantSplit/>
          <w:trHeight w:val="199"/>
          <w:tblHeader/>
          <w:jc w:val="center"/>
        </w:trPr>
        <w:tc>
          <w:tcPr>
            <w:tcW w:w="2494" w:type="dxa"/>
            <w:gridSpan w:val="2"/>
            <w:shd w:val="clear" w:color="auto" w:fill="FFFFFF"/>
            <w:tcMar>
              <w:top w:w="30" w:type="dxa"/>
              <w:left w:w="30" w:type="dxa"/>
              <w:bottom w:w="30" w:type="dxa"/>
              <w:right w:w="30" w:type="dxa"/>
            </w:tcMar>
          </w:tcPr>
          <w:p w:rsidR="0023051F" w:rsidRPr="0023051F" w:rsidRDefault="0023051F" w:rsidP="00D13265">
            <w:pPr>
              <w:pStyle w:val="IEEEParagraph"/>
              <w:ind w:firstLine="215"/>
              <w:rPr>
                <w:rFonts w:asciiTheme="majorBidi" w:hAnsiTheme="majorBidi" w:cstheme="majorBidi"/>
              </w:rPr>
            </w:pPr>
            <w:r w:rsidRPr="0023051F">
              <w:rPr>
                <w:rFonts w:asciiTheme="majorBidi" w:hAnsiTheme="majorBidi" w:cstheme="majorBidi"/>
              </w:rPr>
              <w:t>Median</w:t>
            </w:r>
          </w:p>
        </w:tc>
        <w:tc>
          <w:tcPr>
            <w:tcW w:w="1429" w:type="dxa"/>
            <w:gridSpan w:val="2"/>
            <w:shd w:val="clear" w:color="auto" w:fill="FFFFFF"/>
            <w:tcMar>
              <w:top w:w="30" w:type="dxa"/>
              <w:left w:w="30" w:type="dxa"/>
              <w:bottom w:w="30" w:type="dxa"/>
              <w:right w:w="30" w:type="dxa"/>
            </w:tcMar>
            <w:vAlign w:val="center"/>
          </w:tcPr>
          <w:p w:rsidR="0023051F" w:rsidRPr="0023051F" w:rsidRDefault="0023051F" w:rsidP="00D13265">
            <w:pPr>
              <w:pStyle w:val="IEEEParagraph"/>
              <w:ind w:firstLine="215"/>
              <w:jc w:val="center"/>
              <w:rPr>
                <w:rFonts w:asciiTheme="majorBidi" w:hAnsiTheme="majorBidi" w:cstheme="majorBidi"/>
              </w:rPr>
            </w:pPr>
            <w:r w:rsidRPr="0023051F">
              <w:rPr>
                <w:rFonts w:asciiTheme="majorBidi" w:hAnsiTheme="majorBidi" w:cstheme="majorBidi"/>
              </w:rPr>
              <w:t>1.0768E2</w:t>
            </w:r>
          </w:p>
        </w:tc>
        <w:tc>
          <w:tcPr>
            <w:tcW w:w="1503" w:type="dxa"/>
            <w:gridSpan w:val="2"/>
            <w:shd w:val="clear" w:color="auto" w:fill="FFFFFF"/>
            <w:tcMar>
              <w:top w:w="30" w:type="dxa"/>
              <w:left w:w="30" w:type="dxa"/>
              <w:bottom w:w="30" w:type="dxa"/>
              <w:right w:w="30" w:type="dxa"/>
            </w:tcMar>
            <w:vAlign w:val="center"/>
          </w:tcPr>
          <w:p w:rsidR="0023051F" w:rsidRPr="0023051F" w:rsidRDefault="0023051F" w:rsidP="00D13265">
            <w:pPr>
              <w:pStyle w:val="IEEEParagraph"/>
              <w:ind w:firstLine="215"/>
              <w:jc w:val="center"/>
              <w:rPr>
                <w:rFonts w:asciiTheme="majorBidi" w:hAnsiTheme="majorBidi" w:cstheme="majorBidi"/>
              </w:rPr>
            </w:pPr>
            <w:r w:rsidRPr="0023051F">
              <w:rPr>
                <w:rFonts w:asciiTheme="majorBidi" w:hAnsiTheme="majorBidi" w:cstheme="majorBidi"/>
              </w:rPr>
              <w:t>81.3800</w:t>
            </w:r>
          </w:p>
        </w:tc>
        <w:tc>
          <w:tcPr>
            <w:tcW w:w="1429" w:type="dxa"/>
            <w:gridSpan w:val="2"/>
            <w:shd w:val="clear" w:color="auto" w:fill="FFFFFF"/>
            <w:tcMar>
              <w:top w:w="30" w:type="dxa"/>
              <w:left w:w="30" w:type="dxa"/>
              <w:bottom w:w="30" w:type="dxa"/>
              <w:right w:w="30" w:type="dxa"/>
            </w:tcMar>
            <w:vAlign w:val="center"/>
          </w:tcPr>
          <w:p w:rsidR="0023051F" w:rsidRPr="0023051F" w:rsidRDefault="0023051F" w:rsidP="00D13265">
            <w:pPr>
              <w:pStyle w:val="IEEEParagraph"/>
              <w:ind w:firstLine="215"/>
              <w:jc w:val="center"/>
              <w:rPr>
                <w:rFonts w:asciiTheme="majorBidi" w:hAnsiTheme="majorBidi" w:cstheme="majorBidi"/>
              </w:rPr>
            </w:pPr>
            <w:r w:rsidRPr="0023051F">
              <w:rPr>
                <w:rFonts w:asciiTheme="majorBidi" w:hAnsiTheme="majorBidi" w:cstheme="majorBidi"/>
              </w:rPr>
              <w:t>56.6900</w:t>
            </w:r>
          </w:p>
        </w:tc>
        <w:tc>
          <w:tcPr>
            <w:tcW w:w="2060" w:type="dxa"/>
            <w:gridSpan w:val="2"/>
            <w:shd w:val="clear" w:color="auto" w:fill="FFFFFF"/>
            <w:tcMar>
              <w:top w:w="30" w:type="dxa"/>
              <w:left w:w="30" w:type="dxa"/>
              <w:bottom w:w="30" w:type="dxa"/>
              <w:right w:w="30" w:type="dxa"/>
            </w:tcMar>
            <w:vAlign w:val="center"/>
          </w:tcPr>
          <w:p w:rsidR="0023051F" w:rsidRPr="0023051F" w:rsidRDefault="0023051F" w:rsidP="00D13265">
            <w:pPr>
              <w:pStyle w:val="IEEEParagraph"/>
              <w:ind w:firstLine="215"/>
              <w:jc w:val="center"/>
              <w:rPr>
                <w:rFonts w:asciiTheme="majorBidi" w:hAnsiTheme="majorBidi" w:cstheme="majorBidi"/>
              </w:rPr>
            </w:pPr>
            <w:r w:rsidRPr="0023051F">
              <w:rPr>
                <w:rFonts w:asciiTheme="majorBidi" w:hAnsiTheme="majorBidi" w:cstheme="majorBidi"/>
              </w:rPr>
              <w:t>12.1600</w:t>
            </w:r>
          </w:p>
        </w:tc>
      </w:tr>
      <w:tr w:rsidR="0023051F" w:rsidRPr="0023051F" w:rsidTr="00A90924">
        <w:trPr>
          <w:gridAfter w:val="1"/>
          <w:wAfter w:w="72" w:type="dxa"/>
          <w:cantSplit/>
          <w:trHeight w:val="190"/>
          <w:tblHeader/>
          <w:jc w:val="center"/>
        </w:trPr>
        <w:tc>
          <w:tcPr>
            <w:tcW w:w="2494" w:type="dxa"/>
            <w:gridSpan w:val="2"/>
            <w:shd w:val="clear" w:color="auto" w:fill="FFFFFF"/>
            <w:tcMar>
              <w:top w:w="30" w:type="dxa"/>
              <w:left w:w="30" w:type="dxa"/>
              <w:bottom w:w="30" w:type="dxa"/>
              <w:right w:w="30" w:type="dxa"/>
            </w:tcMar>
          </w:tcPr>
          <w:p w:rsidR="0023051F" w:rsidRPr="0023051F" w:rsidRDefault="0023051F" w:rsidP="00D13265">
            <w:pPr>
              <w:pStyle w:val="IEEEParagraph"/>
              <w:ind w:firstLine="215"/>
              <w:rPr>
                <w:rFonts w:asciiTheme="majorBidi" w:hAnsiTheme="majorBidi" w:cstheme="majorBidi"/>
              </w:rPr>
            </w:pPr>
            <w:r w:rsidRPr="0023051F">
              <w:rPr>
                <w:rFonts w:asciiTheme="majorBidi" w:hAnsiTheme="majorBidi" w:cstheme="majorBidi"/>
              </w:rPr>
              <w:t>Mode</w:t>
            </w:r>
          </w:p>
        </w:tc>
        <w:tc>
          <w:tcPr>
            <w:tcW w:w="1429" w:type="dxa"/>
            <w:gridSpan w:val="2"/>
            <w:shd w:val="clear" w:color="auto" w:fill="FFFFFF"/>
            <w:tcMar>
              <w:top w:w="30" w:type="dxa"/>
              <w:left w:w="30" w:type="dxa"/>
              <w:bottom w:w="30" w:type="dxa"/>
              <w:right w:w="30" w:type="dxa"/>
            </w:tcMar>
            <w:vAlign w:val="center"/>
          </w:tcPr>
          <w:p w:rsidR="0023051F" w:rsidRPr="0023051F" w:rsidRDefault="0023051F" w:rsidP="00D13265">
            <w:pPr>
              <w:pStyle w:val="IEEEParagraph"/>
              <w:ind w:firstLine="215"/>
              <w:jc w:val="center"/>
              <w:rPr>
                <w:rFonts w:asciiTheme="majorBidi" w:hAnsiTheme="majorBidi" w:cstheme="majorBidi"/>
              </w:rPr>
            </w:pPr>
            <w:r w:rsidRPr="0023051F">
              <w:rPr>
                <w:rFonts w:asciiTheme="majorBidi" w:hAnsiTheme="majorBidi" w:cstheme="majorBidi"/>
              </w:rPr>
              <w:t>107.13</w:t>
            </w:r>
            <w:r w:rsidRPr="0023051F">
              <w:rPr>
                <w:rFonts w:asciiTheme="majorBidi" w:hAnsiTheme="majorBidi" w:cstheme="majorBidi"/>
                <w:vertAlign w:val="superscript"/>
              </w:rPr>
              <w:t>a</w:t>
            </w:r>
          </w:p>
        </w:tc>
        <w:tc>
          <w:tcPr>
            <w:tcW w:w="1503" w:type="dxa"/>
            <w:gridSpan w:val="2"/>
            <w:shd w:val="clear" w:color="auto" w:fill="FFFFFF"/>
            <w:tcMar>
              <w:top w:w="30" w:type="dxa"/>
              <w:left w:w="30" w:type="dxa"/>
              <w:bottom w:w="30" w:type="dxa"/>
              <w:right w:w="30" w:type="dxa"/>
            </w:tcMar>
            <w:vAlign w:val="center"/>
          </w:tcPr>
          <w:p w:rsidR="0023051F" w:rsidRPr="0023051F" w:rsidRDefault="0023051F" w:rsidP="00D13265">
            <w:pPr>
              <w:pStyle w:val="IEEEParagraph"/>
              <w:ind w:firstLine="215"/>
              <w:jc w:val="center"/>
              <w:rPr>
                <w:rFonts w:asciiTheme="majorBidi" w:hAnsiTheme="majorBidi" w:cstheme="majorBidi"/>
              </w:rPr>
            </w:pPr>
            <w:r w:rsidRPr="0023051F">
              <w:rPr>
                <w:rFonts w:asciiTheme="majorBidi" w:hAnsiTheme="majorBidi" w:cstheme="majorBidi"/>
              </w:rPr>
              <w:t>81.09</w:t>
            </w:r>
          </w:p>
        </w:tc>
        <w:tc>
          <w:tcPr>
            <w:tcW w:w="1429" w:type="dxa"/>
            <w:gridSpan w:val="2"/>
            <w:shd w:val="clear" w:color="auto" w:fill="FFFFFF"/>
            <w:tcMar>
              <w:top w:w="30" w:type="dxa"/>
              <w:left w:w="30" w:type="dxa"/>
              <w:bottom w:w="30" w:type="dxa"/>
              <w:right w:w="30" w:type="dxa"/>
            </w:tcMar>
            <w:vAlign w:val="center"/>
          </w:tcPr>
          <w:p w:rsidR="0023051F" w:rsidRPr="0023051F" w:rsidRDefault="0023051F" w:rsidP="00D13265">
            <w:pPr>
              <w:pStyle w:val="IEEEParagraph"/>
              <w:ind w:firstLine="215"/>
              <w:jc w:val="center"/>
              <w:rPr>
                <w:rFonts w:asciiTheme="majorBidi" w:hAnsiTheme="majorBidi" w:cstheme="majorBidi"/>
              </w:rPr>
            </w:pPr>
            <w:r w:rsidRPr="0023051F">
              <w:rPr>
                <w:rFonts w:asciiTheme="majorBidi" w:hAnsiTheme="majorBidi" w:cstheme="majorBidi"/>
              </w:rPr>
              <w:t>42.43</w:t>
            </w:r>
            <w:r w:rsidRPr="0023051F">
              <w:rPr>
                <w:rFonts w:asciiTheme="majorBidi" w:hAnsiTheme="majorBidi" w:cstheme="majorBidi"/>
                <w:vertAlign w:val="superscript"/>
              </w:rPr>
              <w:t>a</w:t>
            </w:r>
          </w:p>
        </w:tc>
        <w:tc>
          <w:tcPr>
            <w:tcW w:w="2060" w:type="dxa"/>
            <w:gridSpan w:val="2"/>
            <w:shd w:val="clear" w:color="auto" w:fill="FFFFFF"/>
            <w:tcMar>
              <w:top w:w="30" w:type="dxa"/>
              <w:left w:w="30" w:type="dxa"/>
              <w:bottom w:w="30" w:type="dxa"/>
              <w:right w:w="30" w:type="dxa"/>
            </w:tcMar>
            <w:vAlign w:val="center"/>
          </w:tcPr>
          <w:p w:rsidR="0023051F" w:rsidRPr="0023051F" w:rsidRDefault="0023051F" w:rsidP="00D13265">
            <w:pPr>
              <w:pStyle w:val="IEEEParagraph"/>
              <w:ind w:firstLine="215"/>
              <w:jc w:val="center"/>
              <w:rPr>
                <w:rFonts w:asciiTheme="majorBidi" w:hAnsiTheme="majorBidi" w:cstheme="majorBidi"/>
              </w:rPr>
            </w:pPr>
            <w:r w:rsidRPr="0023051F">
              <w:rPr>
                <w:rFonts w:asciiTheme="majorBidi" w:hAnsiTheme="majorBidi" w:cstheme="majorBidi"/>
              </w:rPr>
              <w:t>9.55</w:t>
            </w:r>
            <w:r w:rsidRPr="0023051F">
              <w:rPr>
                <w:rFonts w:asciiTheme="majorBidi" w:hAnsiTheme="majorBidi" w:cstheme="majorBidi"/>
                <w:vertAlign w:val="superscript"/>
              </w:rPr>
              <w:t>a</w:t>
            </w:r>
          </w:p>
        </w:tc>
      </w:tr>
      <w:tr w:rsidR="0023051F" w:rsidRPr="0023051F" w:rsidTr="00A90924">
        <w:trPr>
          <w:gridAfter w:val="1"/>
          <w:wAfter w:w="72" w:type="dxa"/>
          <w:cantSplit/>
          <w:trHeight w:val="190"/>
          <w:tblHeader/>
          <w:jc w:val="center"/>
        </w:trPr>
        <w:tc>
          <w:tcPr>
            <w:tcW w:w="2494" w:type="dxa"/>
            <w:gridSpan w:val="2"/>
            <w:shd w:val="clear" w:color="auto" w:fill="FFFFFF"/>
            <w:tcMar>
              <w:top w:w="30" w:type="dxa"/>
              <w:left w:w="30" w:type="dxa"/>
              <w:bottom w:w="30" w:type="dxa"/>
              <w:right w:w="30" w:type="dxa"/>
            </w:tcMar>
          </w:tcPr>
          <w:p w:rsidR="0023051F" w:rsidRPr="0023051F" w:rsidRDefault="0023051F" w:rsidP="00D13265">
            <w:pPr>
              <w:pStyle w:val="IEEEParagraph"/>
              <w:ind w:firstLine="215"/>
              <w:rPr>
                <w:rFonts w:asciiTheme="majorBidi" w:hAnsiTheme="majorBidi" w:cstheme="majorBidi"/>
              </w:rPr>
            </w:pPr>
            <w:r w:rsidRPr="0023051F">
              <w:rPr>
                <w:rFonts w:asciiTheme="majorBidi" w:hAnsiTheme="majorBidi" w:cstheme="majorBidi"/>
              </w:rPr>
              <w:t>Std. Deviation</w:t>
            </w:r>
          </w:p>
        </w:tc>
        <w:tc>
          <w:tcPr>
            <w:tcW w:w="1429" w:type="dxa"/>
            <w:gridSpan w:val="2"/>
            <w:shd w:val="clear" w:color="auto" w:fill="FFFFFF"/>
            <w:tcMar>
              <w:top w:w="30" w:type="dxa"/>
              <w:left w:w="30" w:type="dxa"/>
              <w:bottom w:w="30" w:type="dxa"/>
              <w:right w:w="30" w:type="dxa"/>
            </w:tcMar>
            <w:vAlign w:val="center"/>
          </w:tcPr>
          <w:p w:rsidR="0023051F" w:rsidRPr="0023051F" w:rsidRDefault="0023051F" w:rsidP="00D13265">
            <w:pPr>
              <w:pStyle w:val="IEEEParagraph"/>
              <w:ind w:firstLine="215"/>
              <w:jc w:val="center"/>
              <w:rPr>
                <w:rFonts w:asciiTheme="majorBidi" w:hAnsiTheme="majorBidi" w:cstheme="majorBidi"/>
              </w:rPr>
            </w:pPr>
            <w:r w:rsidRPr="0023051F">
              <w:rPr>
                <w:rFonts w:asciiTheme="majorBidi" w:hAnsiTheme="majorBidi" w:cstheme="majorBidi"/>
              </w:rPr>
              <w:t>1.99915</w:t>
            </w:r>
          </w:p>
        </w:tc>
        <w:tc>
          <w:tcPr>
            <w:tcW w:w="1503" w:type="dxa"/>
            <w:gridSpan w:val="2"/>
            <w:shd w:val="clear" w:color="auto" w:fill="FFFFFF"/>
            <w:tcMar>
              <w:top w:w="30" w:type="dxa"/>
              <w:left w:w="30" w:type="dxa"/>
              <w:bottom w:w="30" w:type="dxa"/>
              <w:right w:w="30" w:type="dxa"/>
            </w:tcMar>
            <w:vAlign w:val="center"/>
          </w:tcPr>
          <w:p w:rsidR="0023051F" w:rsidRPr="0023051F" w:rsidRDefault="0023051F" w:rsidP="00D13265">
            <w:pPr>
              <w:pStyle w:val="IEEEParagraph"/>
              <w:ind w:firstLine="215"/>
              <w:jc w:val="center"/>
              <w:rPr>
                <w:rFonts w:asciiTheme="majorBidi" w:hAnsiTheme="majorBidi" w:cstheme="majorBidi"/>
              </w:rPr>
            </w:pPr>
            <w:r w:rsidRPr="0023051F">
              <w:rPr>
                <w:rFonts w:asciiTheme="majorBidi" w:hAnsiTheme="majorBidi" w:cstheme="majorBidi"/>
              </w:rPr>
              <w:t>7.52080</w:t>
            </w:r>
          </w:p>
        </w:tc>
        <w:tc>
          <w:tcPr>
            <w:tcW w:w="1429" w:type="dxa"/>
            <w:gridSpan w:val="2"/>
            <w:shd w:val="clear" w:color="auto" w:fill="FFFFFF"/>
            <w:tcMar>
              <w:top w:w="30" w:type="dxa"/>
              <w:left w:w="30" w:type="dxa"/>
              <w:bottom w:w="30" w:type="dxa"/>
              <w:right w:w="30" w:type="dxa"/>
            </w:tcMar>
            <w:vAlign w:val="center"/>
          </w:tcPr>
          <w:p w:rsidR="0023051F" w:rsidRPr="0023051F" w:rsidRDefault="0023051F" w:rsidP="00D13265">
            <w:pPr>
              <w:pStyle w:val="IEEEParagraph"/>
              <w:ind w:firstLine="215"/>
              <w:jc w:val="center"/>
              <w:rPr>
                <w:rFonts w:asciiTheme="majorBidi" w:hAnsiTheme="majorBidi" w:cstheme="majorBidi"/>
              </w:rPr>
            </w:pPr>
            <w:r w:rsidRPr="0023051F">
              <w:rPr>
                <w:rFonts w:asciiTheme="majorBidi" w:hAnsiTheme="majorBidi" w:cstheme="majorBidi"/>
              </w:rPr>
              <w:t>1.25872E1</w:t>
            </w:r>
          </w:p>
        </w:tc>
        <w:tc>
          <w:tcPr>
            <w:tcW w:w="2060" w:type="dxa"/>
            <w:gridSpan w:val="2"/>
            <w:shd w:val="clear" w:color="auto" w:fill="FFFFFF"/>
            <w:tcMar>
              <w:top w:w="30" w:type="dxa"/>
              <w:left w:w="30" w:type="dxa"/>
              <w:bottom w:w="30" w:type="dxa"/>
              <w:right w:w="30" w:type="dxa"/>
            </w:tcMar>
            <w:vAlign w:val="center"/>
          </w:tcPr>
          <w:p w:rsidR="0023051F" w:rsidRPr="0023051F" w:rsidRDefault="0023051F" w:rsidP="00D13265">
            <w:pPr>
              <w:pStyle w:val="IEEEParagraph"/>
              <w:ind w:firstLine="215"/>
              <w:jc w:val="center"/>
              <w:rPr>
                <w:rFonts w:asciiTheme="majorBidi" w:hAnsiTheme="majorBidi" w:cstheme="majorBidi"/>
              </w:rPr>
            </w:pPr>
            <w:r w:rsidRPr="0023051F">
              <w:rPr>
                <w:rFonts w:asciiTheme="majorBidi" w:hAnsiTheme="majorBidi" w:cstheme="majorBidi"/>
              </w:rPr>
              <w:t>5.70806</w:t>
            </w:r>
          </w:p>
        </w:tc>
      </w:tr>
      <w:tr w:rsidR="0023051F" w:rsidRPr="0023051F" w:rsidTr="00A90924">
        <w:trPr>
          <w:gridAfter w:val="1"/>
          <w:wAfter w:w="72" w:type="dxa"/>
          <w:cantSplit/>
          <w:trHeight w:val="199"/>
          <w:tblHeader/>
          <w:jc w:val="center"/>
        </w:trPr>
        <w:tc>
          <w:tcPr>
            <w:tcW w:w="2494" w:type="dxa"/>
            <w:gridSpan w:val="2"/>
            <w:shd w:val="clear" w:color="auto" w:fill="FFFFFF"/>
            <w:tcMar>
              <w:top w:w="30" w:type="dxa"/>
              <w:left w:w="30" w:type="dxa"/>
              <w:bottom w:w="30" w:type="dxa"/>
              <w:right w:w="30" w:type="dxa"/>
            </w:tcMar>
          </w:tcPr>
          <w:p w:rsidR="0023051F" w:rsidRPr="0023051F" w:rsidRDefault="0023051F" w:rsidP="00D13265">
            <w:pPr>
              <w:pStyle w:val="IEEEParagraph"/>
              <w:ind w:firstLine="215"/>
              <w:rPr>
                <w:rFonts w:asciiTheme="majorBidi" w:hAnsiTheme="majorBidi" w:cstheme="majorBidi"/>
              </w:rPr>
            </w:pPr>
            <w:r w:rsidRPr="0023051F">
              <w:rPr>
                <w:rFonts w:asciiTheme="majorBidi" w:hAnsiTheme="majorBidi" w:cstheme="majorBidi"/>
              </w:rPr>
              <w:t>Variance</w:t>
            </w:r>
          </w:p>
        </w:tc>
        <w:tc>
          <w:tcPr>
            <w:tcW w:w="1429" w:type="dxa"/>
            <w:gridSpan w:val="2"/>
            <w:shd w:val="clear" w:color="auto" w:fill="FFFFFF"/>
            <w:tcMar>
              <w:top w:w="30" w:type="dxa"/>
              <w:left w:w="30" w:type="dxa"/>
              <w:bottom w:w="30" w:type="dxa"/>
              <w:right w:w="30" w:type="dxa"/>
            </w:tcMar>
            <w:vAlign w:val="center"/>
          </w:tcPr>
          <w:p w:rsidR="0023051F" w:rsidRPr="0023051F" w:rsidRDefault="0023051F" w:rsidP="00D13265">
            <w:pPr>
              <w:pStyle w:val="IEEEParagraph"/>
              <w:ind w:firstLine="215"/>
              <w:jc w:val="center"/>
              <w:rPr>
                <w:rFonts w:asciiTheme="majorBidi" w:hAnsiTheme="majorBidi" w:cstheme="majorBidi"/>
              </w:rPr>
            </w:pPr>
            <w:r w:rsidRPr="0023051F">
              <w:rPr>
                <w:rFonts w:asciiTheme="majorBidi" w:hAnsiTheme="majorBidi" w:cstheme="majorBidi"/>
              </w:rPr>
              <w:t>3.997</w:t>
            </w:r>
          </w:p>
        </w:tc>
        <w:tc>
          <w:tcPr>
            <w:tcW w:w="1503" w:type="dxa"/>
            <w:gridSpan w:val="2"/>
            <w:shd w:val="clear" w:color="auto" w:fill="FFFFFF"/>
            <w:tcMar>
              <w:top w:w="30" w:type="dxa"/>
              <w:left w:w="30" w:type="dxa"/>
              <w:bottom w:w="30" w:type="dxa"/>
              <w:right w:w="30" w:type="dxa"/>
            </w:tcMar>
            <w:vAlign w:val="center"/>
          </w:tcPr>
          <w:p w:rsidR="0023051F" w:rsidRPr="0023051F" w:rsidRDefault="0023051F" w:rsidP="00D13265">
            <w:pPr>
              <w:pStyle w:val="IEEEParagraph"/>
              <w:ind w:firstLine="215"/>
              <w:jc w:val="center"/>
              <w:rPr>
                <w:rFonts w:asciiTheme="majorBidi" w:hAnsiTheme="majorBidi" w:cstheme="majorBidi"/>
              </w:rPr>
            </w:pPr>
            <w:r w:rsidRPr="0023051F">
              <w:rPr>
                <w:rFonts w:asciiTheme="majorBidi" w:hAnsiTheme="majorBidi" w:cstheme="majorBidi"/>
              </w:rPr>
              <w:t>56.562</w:t>
            </w:r>
          </w:p>
        </w:tc>
        <w:tc>
          <w:tcPr>
            <w:tcW w:w="1429" w:type="dxa"/>
            <w:gridSpan w:val="2"/>
            <w:shd w:val="clear" w:color="auto" w:fill="FFFFFF"/>
            <w:tcMar>
              <w:top w:w="30" w:type="dxa"/>
              <w:left w:w="30" w:type="dxa"/>
              <w:bottom w:w="30" w:type="dxa"/>
              <w:right w:w="30" w:type="dxa"/>
            </w:tcMar>
            <w:vAlign w:val="center"/>
          </w:tcPr>
          <w:p w:rsidR="0023051F" w:rsidRPr="0023051F" w:rsidRDefault="0023051F" w:rsidP="00D13265">
            <w:pPr>
              <w:pStyle w:val="IEEEParagraph"/>
              <w:ind w:firstLine="215"/>
              <w:jc w:val="center"/>
              <w:rPr>
                <w:rFonts w:asciiTheme="majorBidi" w:hAnsiTheme="majorBidi" w:cstheme="majorBidi"/>
              </w:rPr>
            </w:pPr>
            <w:r w:rsidRPr="0023051F">
              <w:rPr>
                <w:rFonts w:asciiTheme="majorBidi" w:hAnsiTheme="majorBidi" w:cstheme="majorBidi"/>
              </w:rPr>
              <w:t>158.437</w:t>
            </w:r>
          </w:p>
        </w:tc>
        <w:tc>
          <w:tcPr>
            <w:tcW w:w="2060" w:type="dxa"/>
            <w:gridSpan w:val="2"/>
            <w:shd w:val="clear" w:color="auto" w:fill="FFFFFF"/>
            <w:tcMar>
              <w:top w:w="30" w:type="dxa"/>
              <w:left w:w="30" w:type="dxa"/>
              <w:bottom w:w="30" w:type="dxa"/>
              <w:right w:w="30" w:type="dxa"/>
            </w:tcMar>
            <w:vAlign w:val="center"/>
          </w:tcPr>
          <w:p w:rsidR="0023051F" w:rsidRPr="0023051F" w:rsidRDefault="0023051F" w:rsidP="00D13265">
            <w:pPr>
              <w:pStyle w:val="IEEEParagraph"/>
              <w:ind w:firstLine="215"/>
              <w:jc w:val="center"/>
              <w:rPr>
                <w:rFonts w:asciiTheme="majorBidi" w:hAnsiTheme="majorBidi" w:cstheme="majorBidi"/>
              </w:rPr>
            </w:pPr>
            <w:r w:rsidRPr="0023051F">
              <w:rPr>
                <w:rFonts w:asciiTheme="majorBidi" w:hAnsiTheme="majorBidi" w:cstheme="majorBidi"/>
              </w:rPr>
              <w:t>32.582</w:t>
            </w:r>
          </w:p>
        </w:tc>
      </w:tr>
      <w:tr w:rsidR="0023051F" w:rsidRPr="0023051F" w:rsidTr="00A90924">
        <w:trPr>
          <w:gridAfter w:val="1"/>
          <w:wAfter w:w="72" w:type="dxa"/>
          <w:cantSplit/>
          <w:trHeight w:val="190"/>
          <w:tblHeader/>
          <w:jc w:val="center"/>
        </w:trPr>
        <w:tc>
          <w:tcPr>
            <w:tcW w:w="2494" w:type="dxa"/>
            <w:gridSpan w:val="2"/>
            <w:shd w:val="clear" w:color="auto" w:fill="FFFFFF"/>
            <w:tcMar>
              <w:top w:w="30" w:type="dxa"/>
              <w:left w:w="30" w:type="dxa"/>
              <w:bottom w:w="30" w:type="dxa"/>
              <w:right w:w="30" w:type="dxa"/>
            </w:tcMar>
          </w:tcPr>
          <w:p w:rsidR="0023051F" w:rsidRPr="0023051F" w:rsidRDefault="0023051F" w:rsidP="00D13265">
            <w:pPr>
              <w:pStyle w:val="IEEEParagraph"/>
              <w:ind w:firstLine="215"/>
              <w:rPr>
                <w:rFonts w:asciiTheme="majorBidi" w:hAnsiTheme="majorBidi" w:cstheme="majorBidi"/>
              </w:rPr>
            </w:pPr>
            <w:r w:rsidRPr="0023051F">
              <w:rPr>
                <w:rFonts w:asciiTheme="majorBidi" w:hAnsiTheme="majorBidi" w:cstheme="majorBidi"/>
              </w:rPr>
              <w:t>Range</w:t>
            </w:r>
          </w:p>
        </w:tc>
        <w:tc>
          <w:tcPr>
            <w:tcW w:w="1429" w:type="dxa"/>
            <w:gridSpan w:val="2"/>
            <w:shd w:val="clear" w:color="auto" w:fill="FFFFFF"/>
            <w:tcMar>
              <w:top w:w="30" w:type="dxa"/>
              <w:left w:w="30" w:type="dxa"/>
              <w:bottom w:w="30" w:type="dxa"/>
              <w:right w:w="30" w:type="dxa"/>
            </w:tcMar>
            <w:vAlign w:val="center"/>
          </w:tcPr>
          <w:p w:rsidR="0023051F" w:rsidRPr="0023051F" w:rsidRDefault="0023051F" w:rsidP="00D13265">
            <w:pPr>
              <w:pStyle w:val="IEEEParagraph"/>
              <w:ind w:firstLine="215"/>
              <w:jc w:val="center"/>
              <w:rPr>
                <w:rFonts w:asciiTheme="majorBidi" w:hAnsiTheme="majorBidi" w:cstheme="majorBidi"/>
              </w:rPr>
            </w:pPr>
            <w:r w:rsidRPr="0023051F">
              <w:rPr>
                <w:rFonts w:asciiTheme="majorBidi" w:hAnsiTheme="majorBidi" w:cstheme="majorBidi"/>
              </w:rPr>
              <w:t>9.21</w:t>
            </w:r>
          </w:p>
        </w:tc>
        <w:tc>
          <w:tcPr>
            <w:tcW w:w="1503" w:type="dxa"/>
            <w:gridSpan w:val="2"/>
            <w:shd w:val="clear" w:color="auto" w:fill="FFFFFF"/>
            <w:tcMar>
              <w:top w:w="30" w:type="dxa"/>
              <w:left w:w="30" w:type="dxa"/>
              <w:bottom w:w="30" w:type="dxa"/>
              <w:right w:w="30" w:type="dxa"/>
            </w:tcMar>
            <w:vAlign w:val="center"/>
          </w:tcPr>
          <w:p w:rsidR="0023051F" w:rsidRPr="0023051F" w:rsidRDefault="0023051F" w:rsidP="00D13265">
            <w:pPr>
              <w:pStyle w:val="IEEEParagraph"/>
              <w:ind w:firstLine="215"/>
              <w:jc w:val="center"/>
              <w:rPr>
                <w:rFonts w:asciiTheme="majorBidi" w:hAnsiTheme="majorBidi" w:cstheme="majorBidi"/>
              </w:rPr>
            </w:pPr>
            <w:r w:rsidRPr="0023051F">
              <w:rPr>
                <w:rFonts w:asciiTheme="majorBidi" w:hAnsiTheme="majorBidi" w:cstheme="majorBidi"/>
              </w:rPr>
              <w:t>26.87</w:t>
            </w:r>
          </w:p>
        </w:tc>
        <w:tc>
          <w:tcPr>
            <w:tcW w:w="1429" w:type="dxa"/>
            <w:gridSpan w:val="2"/>
            <w:shd w:val="clear" w:color="auto" w:fill="FFFFFF"/>
            <w:tcMar>
              <w:top w:w="30" w:type="dxa"/>
              <w:left w:w="30" w:type="dxa"/>
              <w:bottom w:w="30" w:type="dxa"/>
              <w:right w:w="30" w:type="dxa"/>
            </w:tcMar>
            <w:vAlign w:val="center"/>
          </w:tcPr>
          <w:p w:rsidR="0023051F" w:rsidRPr="0023051F" w:rsidRDefault="0023051F" w:rsidP="00D13265">
            <w:pPr>
              <w:pStyle w:val="IEEEParagraph"/>
              <w:ind w:firstLine="215"/>
              <w:jc w:val="center"/>
              <w:rPr>
                <w:rFonts w:asciiTheme="majorBidi" w:hAnsiTheme="majorBidi" w:cstheme="majorBidi"/>
              </w:rPr>
            </w:pPr>
            <w:r w:rsidRPr="0023051F">
              <w:rPr>
                <w:rFonts w:asciiTheme="majorBidi" w:hAnsiTheme="majorBidi" w:cstheme="majorBidi"/>
              </w:rPr>
              <w:t>39.82</w:t>
            </w:r>
          </w:p>
        </w:tc>
        <w:tc>
          <w:tcPr>
            <w:tcW w:w="2060" w:type="dxa"/>
            <w:gridSpan w:val="2"/>
            <w:shd w:val="clear" w:color="auto" w:fill="FFFFFF"/>
            <w:tcMar>
              <w:top w:w="30" w:type="dxa"/>
              <w:left w:w="30" w:type="dxa"/>
              <w:bottom w:w="30" w:type="dxa"/>
              <w:right w:w="30" w:type="dxa"/>
            </w:tcMar>
            <w:vAlign w:val="center"/>
          </w:tcPr>
          <w:p w:rsidR="0023051F" w:rsidRPr="0023051F" w:rsidRDefault="0023051F" w:rsidP="00D13265">
            <w:pPr>
              <w:pStyle w:val="IEEEParagraph"/>
              <w:ind w:firstLine="215"/>
              <w:jc w:val="center"/>
              <w:rPr>
                <w:rFonts w:asciiTheme="majorBidi" w:hAnsiTheme="majorBidi" w:cstheme="majorBidi"/>
              </w:rPr>
            </w:pPr>
            <w:r w:rsidRPr="0023051F">
              <w:rPr>
                <w:rFonts w:asciiTheme="majorBidi" w:hAnsiTheme="majorBidi" w:cstheme="majorBidi"/>
              </w:rPr>
              <w:t>16.21</w:t>
            </w:r>
          </w:p>
        </w:tc>
      </w:tr>
      <w:tr w:rsidR="0023051F" w:rsidRPr="0023051F" w:rsidTr="00A90924">
        <w:trPr>
          <w:gridAfter w:val="1"/>
          <w:wAfter w:w="72" w:type="dxa"/>
          <w:cantSplit/>
          <w:trHeight w:val="190"/>
          <w:tblHeader/>
          <w:jc w:val="center"/>
        </w:trPr>
        <w:tc>
          <w:tcPr>
            <w:tcW w:w="2494" w:type="dxa"/>
            <w:gridSpan w:val="2"/>
            <w:shd w:val="clear" w:color="auto" w:fill="FFFFFF"/>
            <w:tcMar>
              <w:top w:w="30" w:type="dxa"/>
              <w:left w:w="30" w:type="dxa"/>
              <w:bottom w:w="30" w:type="dxa"/>
              <w:right w:w="30" w:type="dxa"/>
            </w:tcMar>
          </w:tcPr>
          <w:p w:rsidR="0023051F" w:rsidRPr="0023051F" w:rsidRDefault="0023051F" w:rsidP="00D13265">
            <w:pPr>
              <w:pStyle w:val="IEEEParagraph"/>
              <w:ind w:firstLine="215"/>
              <w:rPr>
                <w:rFonts w:asciiTheme="majorBidi" w:hAnsiTheme="majorBidi" w:cstheme="majorBidi"/>
              </w:rPr>
            </w:pPr>
            <w:r w:rsidRPr="0023051F">
              <w:rPr>
                <w:rFonts w:asciiTheme="majorBidi" w:hAnsiTheme="majorBidi" w:cstheme="majorBidi"/>
              </w:rPr>
              <w:t>Minimum</w:t>
            </w:r>
          </w:p>
        </w:tc>
        <w:tc>
          <w:tcPr>
            <w:tcW w:w="1429" w:type="dxa"/>
            <w:gridSpan w:val="2"/>
            <w:shd w:val="clear" w:color="auto" w:fill="FFFFFF"/>
            <w:tcMar>
              <w:top w:w="30" w:type="dxa"/>
              <w:left w:w="30" w:type="dxa"/>
              <w:bottom w:w="30" w:type="dxa"/>
              <w:right w:w="30" w:type="dxa"/>
            </w:tcMar>
            <w:vAlign w:val="center"/>
          </w:tcPr>
          <w:p w:rsidR="0023051F" w:rsidRPr="0023051F" w:rsidRDefault="0023051F" w:rsidP="00D13265">
            <w:pPr>
              <w:pStyle w:val="IEEEParagraph"/>
              <w:ind w:firstLine="215"/>
              <w:jc w:val="center"/>
              <w:rPr>
                <w:rFonts w:asciiTheme="majorBidi" w:hAnsiTheme="majorBidi" w:cstheme="majorBidi"/>
              </w:rPr>
            </w:pPr>
            <w:r w:rsidRPr="0023051F">
              <w:rPr>
                <w:rFonts w:asciiTheme="majorBidi" w:hAnsiTheme="majorBidi" w:cstheme="majorBidi"/>
              </w:rPr>
              <w:t>102.42</w:t>
            </w:r>
          </w:p>
        </w:tc>
        <w:tc>
          <w:tcPr>
            <w:tcW w:w="1503" w:type="dxa"/>
            <w:gridSpan w:val="2"/>
            <w:shd w:val="clear" w:color="auto" w:fill="FFFFFF"/>
            <w:tcMar>
              <w:top w:w="30" w:type="dxa"/>
              <w:left w:w="30" w:type="dxa"/>
              <w:bottom w:w="30" w:type="dxa"/>
              <w:right w:w="30" w:type="dxa"/>
            </w:tcMar>
            <w:vAlign w:val="center"/>
          </w:tcPr>
          <w:p w:rsidR="0023051F" w:rsidRPr="0023051F" w:rsidRDefault="0023051F" w:rsidP="00D13265">
            <w:pPr>
              <w:pStyle w:val="IEEEParagraph"/>
              <w:ind w:firstLine="215"/>
              <w:jc w:val="center"/>
              <w:rPr>
                <w:rFonts w:asciiTheme="majorBidi" w:hAnsiTheme="majorBidi" w:cstheme="majorBidi"/>
              </w:rPr>
            </w:pPr>
            <w:r w:rsidRPr="0023051F">
              <w:rPr>
                <w:rFonts w:asciiTheme="majorBidi" w:hAnsiTheme="majorBidi" w:cstheme="majorBidi"/>
              </w:rPr>
              <w:t>64.36</w:t>
            </w:r>
          </w:p>
        </w:tc>
        <w:tc>
          <w:tcPr>
            <w:tcW w:w="1429" w:type="dxa"/>
            <w:gridSpan w:val="2"/>
            <w:shd w:val="clear" w:color="auto" w:fill="FFFFFF"/>
            <w:tcMar>
              <w:top w:w="30" w:type="dxa"/>
              <w:left w:w="30" w:type="dxa"/>
              <w:bottom w:w="30" w:type="dxa"/>
              <w:right w:w="30" w:type="dxa"/>
            </w:tcMar>
            <w:vAlign w:val="center"/>
          </w:tcPr>
          <w:p w:rsidR="0023051F" w:rsidRPr="0023051F" w:rsidRDefault="0023051F" w:rsidP="00D13265">
            <w:pPr>
              <w:pStyle w:val="IEEEParagraph"/>
              <w:ind w:firstLine="215"/>
              <w:jc w:val="center"/>
              <w:rPr>
                <w:rFonts w:asciiTheme="majorBidi" w:hAnsiTheme="majorBidi" w:cstheme="majorBidi"/>
              </w:rPr>
            </w:pPr>
            <w:r w:rsidRPr="0023051F">
              <w:rPr>
                <w:rFonts w:asciiTheme="majorBidi" w:hAnsiTheme="majorBidi" w:cstheme="majorBidi"/>
              </w:rPr>
              <w:t>42.43</w:t>
            </w:r>
          </w:p>
        </w:tc>
        <w:tc>
          <w:tcPr>
            <w:tcW w:w="2060" w:type="dxa"/>
            <w:gridSpan w:val="2"/>
            <w:shd w:val="clear" w:color="auto" w:fill="FFFFFF"/>
            <w:tcMar>
              <w:top w:w="30" w:type="dxa"/>
              <w:left w:w="30" w:type="dxa"/>
              <w:bottom w:w="30" w:type="dxa"/>
              <w:right w:w="30" w:type="dxa"/>
            </w:tcMar>
            <w:vAlign w:val="center"/>
          </w:tcPr>
          <w:p w:rsidR="0023051F" w:rsidRPr="0023051F" w:rsidRDefault="0023051F" w:rsidP="00D13265">
            <w:pPr>
              <w:pStyle w:val="IEEEParagraph"/>
              <w:ind w:firstLine="215"/>
              <w:jc w:val="center"/>
              <w:rPr>
                <w:rFonts w:asciiTheme="majorBidi" w:hAnsiTheme="majorBidi" w:cstheme="majorBidi"/>
              </w:rPr>
            </w:pPr>
            <w:r w:rsidRPr="0023051F">
              <w:rPr>
                <w:rFonts w:asciiTheme="majorBidi" w:hAnsiTheme="majorBidi" w:cstheme="majorBidi"/>
              </w:rPr>
              <w:t>9.55</w:t>
            </w:r>
          </w:p>
        </w:tc>
      </w:tr>
      <w:tr w:rsidR="0023051F" w:rsidRPr="0023051F" w:rsidTr="00A90924">
        <w:trPr>
          <w:gridAfter w:val="1"/>
          <w:wAfter w:w="72" w:type="dxa"/>
          <w:cantSplit/>
          <w:trHeight w:val="199"/>
          <w:tblHeader/>
          <w:jc w:val="center"/>
        </w:trPr>
        <w:tc>
          <w:tcPr>
            <w:tcW w:w="2494" w:type="dxa"/>
            <w:gridSpan w:val="2"/>
            <w:shd w:val="clear" w:color="auto" w:fill="FFFFFF"/>
            <w:tcMar>
              <w:top w:w="30" w:type="dxa"/>
              <w:left w:w="30" w:type="dxa"/>
              <w:bottom w:w="30" w:type="dxa"/>
              <w:right w:w="30" w:type="dxa"/>
            </w:tcMar>
          </w:tcPr>
          <w:p w:rsidR="0023051F" w:rsidRPr="0023051F" w:rsidRDefault="0023051F" w:rsidP="00D13265">
            <w:pPr>
              <w:pStyle w:val="IEEEParagraph"/>
              <w:ind w:firstLine="215"/>
              <w:rPr>
                <w:rFonts w:asciiTheme="majorBidi" w:hAnsiTheme="majorBidi" w:cstheme="majorBidi"/>
              </w:rPr>
            </w:pPr>
            <w:r w:rsidRPr="0023051F">
              <w:rPr>
                <w:rFonts w:asciiTheme="majorBidi" w:hAnsiTheme="majorBidi" w:cstheme="majorBidi"/>
              </w:rPr>
              <w:t>Maximum</w:t>
            </w:r>
          </w:p>
        </w:tc>
        <w:tc>
          <w:tcPr>
            <w:tcW w:w="1429" w:type="dxa"/>
            <w:gridSpan w:val="2"/>
            <w:shd w:val="clear" w:color="auto" w:fill="FFFFFF"/>
            <w:tcMar>
              <w:top w:w="30" w:type="dxa"/>
              <w:left w:w="30" w:type="dxa"/>
              <w:bottom w:w="30" w:type="dxa"/>
              <w:right w:w="30" w:type="dxa"/>
            </w:tcMar>
            <w:vAlign w:val="center"/>
          </w:tcPr>
          <w:p w:rsidR="0023051F" w:rsidRPr="0023051F" w:rsidRDefault="0023051F" w:rsidP="00D13265">
            <w:pPr>
              <w:pStyle w:val="IEEEParagraph"/>
              <w:ind w:firstLine="215"/>
              <w:jc w:val="center"/>
              <w:rPr>
                <w:rFonts w:asciiTheme="majorBidi" w:hAnsiTheme="majorBidi" w:cstheme="majorBidi"/>
              </w:rPr>
            </w:pPr>
            <w:r w:rsidRPr="0023051F">
              <w:rPr>
                <w:rFonts w:asciiTheme="majorBidi" w:hAnsiTheme="majorBidi" w:cstheme="majorBidi"/>
              </w:rPr>
              <w:t>111.63</w:t>
            </w:r>
          </w:p>
        </w:tc>
        <w:tc>
          <w:tcPr>
            <w:tcW w:w="1503" w:type="dxa"/>
            <w:gridSpan w:val="2"/>
            <w:shd w:val="clear" w:color="auto" w:fill="FFFFFF"/>
            <w:tcMar>
              <w:top w:w="30" w:type="dxa"/>
              <w:left w:w="30" w:type="dxa"/>
              <w:bottom w:w="30" w:type="dxa"/>
              <w:right w:w="30" w:type="dxa"/>
            </w:tcMar>
            <w:vAlign w:val="center"/>
          </w:tcPr>
          <w:p w:rsidR="0023051F" w:rsidRPr="0023051F" w:rsidRDefault="0023051F" w:rsidP="00D13265">
            <w:pPr>
              <w:pStyle w:val="IEEEParagraph"/>
              <w:ind w:firstLine="215"/>
              <w:jc w:val="center"/>
              <w:rPr>
                <w:rFonts w:asciiTheme="majorBidi" w:hAnsiTheme="majorBidi" w:cstheme="majorBidi"/>
              </w:rPr>
            </w:pPr>
            <w:r w:rsidRPr="0023051F">
              <w:rPr>
                <w:rFonts w:asciiTheme="majorBidi" w:hAnsiTheme="majorBidi" w:cstheme="majorBidi"/>
              </w:rPr>
              <w:t>91.23</w:t>
            </w:r>
          </w:p>
        </w:tc>
        <w:tc>
          <w:tcPr>
            <w:tcW w:w="1429" w:type="dxa"/>
            <w:gridSpan w:val="2"/>
            <w:shd w:val="clear" w:color="auto" w:fill="FFFFFF"/>
            <w:tcMar>
              <w:top w:w="30" w:type="dxa"/>
              <w:left w:w="30" w:type="dxa"/>
              <w:bottom w:w="30" w:type="dxa"/>
              <w:right w:w="30" w:type="dxa"/>
            </w:tcMar>
            <w:vAlign w:val="center"/>
          </w:tcPr>
          <w:p w:rsidR="0023051F" w:rsidRPr="0023051F" w:rsidRDefault="0023051F" w:rsidP="00D13265">
            <w:pPr>
              <w:pStyle w:val="IEEEParagraph"/>
              <w:ind w:firstLine="215"/>
              <w:jc w:val="center"/>
              <w:rPr>
                <w:rFonts w:asciiTheme="majorBidi" w:hAnsiTheme="majorBidi" w:cstheme="majorBidi"/>
              </w:rPr>
            </w:pPr>
            <w:r w:rsidRPr="0023051F">
              <w:rPr>
                <w:rFonts w:asciiTheme="majorBidi" w:hAnsiTheme="majorBidi" w:cstheme="majorBidi"/>
              </w:rPr>
              <w:t>82.25</w:t>
            </w:r>
          </w:p>
        </w:tc>
        <w:tc>
          <w:tcPr>
            <w:tcW w:w="2060" w:type="dxa"/>
            <w:gridSpan w:val="2"/>
            <w:shd w:val="clear" w:color="auto" w:fill="FFFFFF"/>
            <w:tcMar>
              <w:top w:w="30" w:type="dxa"/>
              <w:left w:w="30" w:type="dxa"/>
              <w:bottom w:w="30" w:type="dxa"/>
              <w:right w:w="30" w:type="dxa"/>
            </w:tcMar>
            <w:vAlign w:val="center"/>
          </w:tcPr>
          <w:p w:rsidR="0023051F" w:rsidRPr="0023051F" w:rsidRDefault="0023051F" w:rsidP="00D13265">
            <w:pPr>
              <w:pStyle w:val="IEEEParagraph"/>
              <w:ind w:firstLine="215"/>
              <w:jc w:val="center"/>
              <w:rPr>
                <w:rFonts w:asciiTheme="majorBidi" w:hAnsiTheme="majorBidi" w:cstheme="majorBidi"/>
              </w:rPr>
            </w:pPr>
            <w:r w:rsidRPr="0023051F">
              <w:rPr>
                <w:rFonts w:asciiTheme="majorBidi" w:hAnsiTheme="majorBidi" w:cstheme="majorBidi"/>
              </w:rPr>
              <w:t>25.76</w:t>
            </w:r>
          </w:p>
        </w:tc>
      </w:tr>
      <w:tr w:rsidR="0023051F" w:rsidRPr="0023051F" w:rsidTr="00A90924">
        <w:trPr>
          <w:gridAfter w:val="1"/>
          <w:wAfter w:w="72" w:type="dxa"/>
          <w:cantSplit/>
          <w:trHeight w:val="190"/>
          <w:tblHeader/>
          <w:jc w:val="center"/>
        </w:trPr>
        <w:tc>
          <w:tcPr>
            <w:tcW w:w="2494" w:type="dxa"/>
            <w:gridSpan w:val="2"/>
            <w:shd w:val="clear" w:color="auto" w:fill="FFFFFF"/>
            <w:tcMar>
              <w:top w:w="30" w:type="dxa"/>
              <w:left w:w="30" w:type="dxa"/>
              <w:bottom w:w="30" w:type="dxa"/>
              <w:right w:w="30" w:type="dxa"/>
            </w:tcMar>
          </w:tcPr>
          <w:p w:rsidR="0023051F" w:rsidRPr="0023051F" w:rsidRDefault="0023051F" w:rsidP="00D13265">
            <w:pPr>
              <w:pStyle w:val="IEEEParagraph"/>
              <w:ind w:firstLine="215"/>
              <w:rPr>
                <w:rFonts w:asciiTheme="majorBidi" w:hAnsiTheme="majorBidi" w:cstheme="majorBidi"/>
              </w:rPr>
            </w:pPr>
            <w:r w:rsidRPr="0023051F">
              <w:rPr>
                <w:rFonts w:asciiTheme="majorBidi" w:hAnsiTheme="majorBidi" w:cstheme="majorBidi"/>
              </w:rPr>
              <w:t>Sum</w:t>
            </w:r>
          </w:p>
        </w:tc>
        <w:tc>
          <w:tcPr>
            <w:tcW w:w="1429" w:type="dxa"/>
            <w:gridSpan w:val="2"/>
            <w:shd w:val="clear" w:color="auto" w:fill="FFFFFF"/>
            <w:tcMar>
              <w:top w:w="30" w:type="dxa"/>
              <w:left w:w="30" w:type="dxa"/>
              <w:bottom w:w="30" w:type="dxa"/>
              <w:right w:w="30" w:type="dxa"/>
            </w:tcMar>
            <w:vAlign w:val="center"/>
          </w:tcPr>
          <w:p w:rsidR="0023051F" w:rsidRPr="0023051F" w:rsidRDefault="0023051F" w:rsidP="00D13265">
            <w:pPr>
              <w:pStyle w:val="IEEEParagraph"/>
              <w:ind w:firstLine="215"/>
              <w:jc w:val="center"/>
              <w:rPr>
                <w:rFonts w:asciiTheme="majorBidi" w:hAnsiTheme="majorBidi" w:cstheme="majorBidi"/>
              </w:rPr>
            </w:pPr>
            <w:r w:rsidRPr="0023051F">
              <w:rPr>
                <w:rFonts w:asciiTheme="majorBidi" w:hAnsiTheme="majorBidi" w:cstheme="majorBidi"/>
              </w:rPr>
              <w:t>2696.33</w:t>
            </w:r>
          </w:p>
        </w:tc>
        <w:tc>
          <w:tcPr>
            <w:tcW w:w="1503" w:type="dxa"/>
            <w:gridSpan w:val="2"/>
            <w:shd w:val="clear" w:color="auto" w:fill="FFFFFF"/>
            <w:tcMar>
              <w:top w:w="30" w:type="dxa"/>
              <w:left w:w="30" w:type="dxa"/>
              <w:bottom w:w="30" w:type="dxa"/>
              <w:right w:w="30" w:type="dxa"/>
            </w:tcMar>
            <w:vAlign w:val="center"/>
          </w:tcPr>
          <w:p w:rsidR="0023051F" w:rsidRPr="0023051F" w:rsidRDefault="0023051F" w:rsidP="00D13265">
            <w:pPr>
              <w:pStyle w:val="IEEEParagraph"/>
              <w:ind w:firstLine="215"/>
              <w:jc w:val="center"/>
              <w:rPr>
                <w:rFonts w:asciiTheme="majorBidi" w:hAnsiTheme="majorBidi" w:cstheme="majorBidi"/>
              </w:rPr>
            </w:pPr>
            <w:r w:rsidRPr="0023051F">
              <w:rPr>
                <w:rFonts w:asciiTheme="majorBidi" w:hAnsiTheme="majorBidi" w:cstheme="majorBidi"/>
              </w:rPr>
              <w:t>2026.16</w:t>
            </w:r>
          </w:p>
        </w:tc>
        <w:tc>
          <w:tcPr>
            <w:tcW w:w="1429" w:type="dxa"/>
            <w:gridSpan w:val="2"/>
            <w:shd w:val="clear" w:color="auto" w:fill="FFFFFF"/>
            <w:tcMar>
              <w:top w:w="30" w:type="dxa"/>
              <w:left w:w="30" w:type="dxa"/>
              <w:bottom w:w="30" w:type="dxa"/>
              <w:right w:w="30" w:type="dxa"/>
            </w:tcMar>
            <w:vAlign w:val="center"/>
          </w:tcPr>
          <w:p w:rsidR="0023051F" w:rsidRPr="0023051F" w:rsidRDefault="0023051F" w:rsidP="00D13265">
            <w:pPr>
              <w:pStyle w:val="IEEEParagraph"/>
              <w:ind w:firstLine="215"/>
              <w:jc w:val="center"/>
              <w:rPr>
                <w:rFonts w:asciiTheme="majorBidi" w:hAnsiTheme="majorBidi" w:cstheme="majorBidi"/>
              </w:rPr>
            </w:pPr>
            <w:r w:rsidRPr="0023051F">
              <w:rPr>
                <w:rFonts w:asciiTheme="majorBidi" w:hAnsiTheme="majorBidi" w:cstheme="majorBidi"/>
              </w:rPr>
              <w:t>1466.30</w:t>
            </w:r>
          </w:p>
        </w:tc>
        <w:tc>
          <w:tcPr>
            <w:tcW w:w="2060" w:type="dxa"/>
            <w:gridSpan w:val="2"/>
            <w:shd w:val="clear" w:color="auto" w:fill="FFFFFF"/>
            <w:tcMar>
              <w:top w:w="30" w:type="dxa"/>
              <w:left w:w="30" w:type="dxa"/>
              <w:bottom w:w="30" w:type="dxa"/>
              <w:right w:w="30" w:type="dxa"/>
            </w:tcMar>
            <w:vAlign w:val="center"/>
          </w:tcPr>
          <w:p w:rsidR="0023051F" w:rsidRPr="0023051F" w:rsidRDefault="0023051F" w:rsidP="00D13265">
            <w:pPr>
              <w:pStyle w:val="IEEEParagraph"/>
              <w:ind w:firstLine="215"/>
              <w:jc w:val="center"/>
              <w:rPr>
                <w:rFonts w:asciiTheme="majorBidi" w:hAnsiTheme="majorBidi" w:cstheme="majorBidi"/>
              </w:rPr>
            </w:pPr>
            <w:r w:rsidRPr="0023051F">
              <w:rPr>
                <w:rFonts w:asciiTheme="majorBidi" w:hAnsiTheme="majorBidi" w:cstheme="majorBidi"/>
              </w:rPr>
              <w:t>375.85</w:t>
            </w:r>
          </w:p>
        </w:tc>
      </w:tr>
      <w:tr w:rsidR="0023051F" w:rsidRPr="0023051F" w:rsidTr="00A90924">
        <w:trPr>
          <w:gridAfter w:val="1"/>
          <w:wAfter w:w="72" w:type="dxa"/>
          <w:cantSplit/>
          <w:trHeight w:val="190"/>
          <w:jc w:val="center"/>
        </w:trPr>
        <w:tc>
          <w:tcPr>
            <w:tcW w:w="6855" w:type="dxa"/>
            <w:gridSpan w:val="8"/>
            <w:shd w:val="clear" w:color="auto" w:fill="FFFFFF"/>
            <w:tcMar>
              <w:top w:w="30" w:type="dxa"/>
              <w:left w:w="30" w:type="dxa"/>
              <w:bottom w:w="30" w:type="dxa"/>
              <w:right w:w="30" w:type="dxa"/>
            </w:tcMar>
          </w:tcPr>
          <w:p w:rsidR="0023051F" w:rsidRPr="0023051F" w:rsidRDefault="0023051F" w:rsidP="00D13265">
            <w:pPr>
              <w:pStyle w:val="IEEEParagraph"/>
              <w:ind w:firstLine="215"/>
              <w:rPr>
                <w:rFonts w:asciiTheme="majorBidi" w:hAnsiTheme="majorBidi" w:cstheme="majorBidi"/>
              </w:rPr>
            </w:pPr>
            <w:r w:rsidRPr="0023051F">
              <w:rPr>
                <w:rFonts w:asciiTheme="majorBidi" w:hAnsiTheme="majorBidi" w:cstheme="majorBidi"/>
              </w:rPr>
              <w:t>a. Multiple modes exist. The smallest value is shown</w:t>
            </w:r>
          </w:p>
        </w:tc>
        <w:tc>
          <w:tcPr>
            <w:tcW w:w="2060" w:type="dxa"/>
            <w:gridSpan w:val="2"/>
            <w:shd w:val="clear" w:color="auto" w:fill="FFFFFF"/>
            <w:tcMar>
              <w:top w:w="30" w:type="dxa"/>
              <w:left w:w="30" w:type="dxa"/>
              <w:bottom w:w="30" w:type="dxa"/>
              <w:right w:w="30" w:type="dxa"/>
            </w:tcMar>
          </w:tcPr>
          <w:p w:rsidR="0023051F" w:rsidRPr="0023051F" w:rsidRDefault="0023051F" w:rsidP="00D13265">
            <w:pPr>
              <w:pStyle w:val="IEEEParagraph"/>
              <w:ind w:firstLine="215"/>
              <w:rPr>
                <w:rFonts w:asciiTheme="majorBidi" w:hAnsiTheme="majorBidi" w:cstheme="majorBidi"/>
              </w:rPr>
            </w:pPr>
          </w:p>
        </w:tc>
      </w:tr>
    </w:tbl>
    <w:p w:rsidR="0023051F" w:rsidRPr="0023051F" w:rsidRDefault="0023051F" w:rsidP="0023051F">
      <w:pPr>
        <w:pStyle w:val="IEEEParagraph"/>
        <w:tabs>
          <w:tab w:val="left" w:pos="6240"/>
        </w:tabs>
        <w:rPr>
          <w:rFonts w:asciiTheme="majorBidi" w:hAnsiTheme="majorBidi" w:cstheme="majorBidi"/>
        </w:rPr>
      </w:pPr>
    </w:p>
    <w:p w:rsidR="0023051F" w:rsidRDefault="0023051F" w:rsidP="0023051F">
      <w:pPr>
        <w:pStyle w:val="IEEEParagraph"/>
        <w:ind w:firstLine="0"/>
        <w:rPr>
          <w:rFonts w:asciiTheme="majorBidi" w:hAnsiTheme="majorBidi" w:cstheme="majorBidi"/>
          <w:lang w:val="en-GB"/>
        </w:rPr>
      </w:pPr>
      <w:r w:rsidRPr="0023051F">
        <w:rPr>
          <w:rFonts w:asciiTheme="majorBidi" w:hAnsiTheme="majorBidi" w:cstheme="majorBidi"/>
        </w:rPr>
        <w:tab/>
        <w:t xml:space="preserve">Hasil analisis data Angka Partisipasi Murni (APM) pada Tabel 3 menunjukan bahwa selama periode 1994-2018, jenjang SD/MI memiliki nilai rata-rata </w:t>
      </w:r>
      <w:r w:rsidRPr="0023051F">
        <w:rPr>
          <w:rFonts w:asciiTheme="majorBidi" w:hAnsiTheme="majorBidi" w:cstheme="majorBidi"/>
          <w:i/>
        </w:rPr>
        <w:t>(mean)</w:t>
      </w:r>
      <w:r w:rsidRPr="0023051F">
        <w:rPr>
          <w:rFonts w:asciiTheme="majorBidi" w:hAnsiTheme="majorBidi" w:cstheme="majorBidi"/>
        </w:rPr>
        <w:t xml:space="preserve"> APM sebesar 93.6839 (93,68%), sedangkan jenjang SMP/MTs sebesar 65.7515 (65,75%), selanjutnya jenjang SMA/MA sebesar 45.2495 (45,25%), sedangkan jenjang Perguruan Tinggi (PT) sebesar 11.3284 (11,33%). Selama periode 1994-2018, APK </w:t>
      </w:r>
      <w:r w:rsidRPr="0023051F">
        <w:rPr>
          <w:rFonts w:asciiTheme="majorBidi" w:hAnsiTheme="majorBidi" w:cstheme="majorBidi"/>
          <w:i/>
        </w:rPr>
        <w:t>maximum</w:t>
      </w:r>
      <w:r w:rsidRPr="0023051F">
        <w:rPr>
          <w:rFonts w:asciiTheme="majorBidi" w:hAnsiTheme="majorBidi" w:cstheme="majorBidi"/>
        </w:rPr>
        <w:t xml:space="preserve"> untuk jenjang SD/MI sebesar 97,48% dan </w:t>
      </w:r>
      <w:r w:rsidRPr="0023051F">
        <w:rPr>
          <w:rFonts w:asciiTheme="majorBidi" w:hAnsiTheme="majorBidi" w:cstheme="majorBidi"/>
          <w:i/>
        </w:rPr>
        <w:t>minimum</w:t>
      </w:r>
      <w:r w:rsidRPr="0023051F">
        <w:rPr>
          <w:rFonts w:asciiTheme="majorBidi" w:hAnsiTheme="majorBidi" w:cstheme="majorBidi"/>
        </w:rPr>
        <w:t xml:space="preserve"> sebesar 90,98%. Jenjang SMP/MTs nilai </w:t>
      </w:r>
      <w:r w:rsidRPr="0023051F">
        <w:rPr>
          <w:rFonts w:asciiTheme="majorBidi" w:hAnsiTheme="majorBidi" w:cstheme="majorBidi"/>
          <w:i/>
        </w:rPr>
        <w:t>maximum</w:t>
      </w:r>
      <w:r w:rsidRPr="0023051F">
        <w:rPr>
          <w:rFonts w:asciiTheme="majorBidi" w:hAnsiTheme="majorBidi" w:cstheme="majorBidi"/>
        </w:rPr>
        <w:t xml:space="preserve"> sebesar 78,75%,  </w:t>
      </w:r>
      <w:r w:rsidRPr="0023051F">
        <w:rPr>
          <w:rFonts w:asciiTheme="majorBidi" w:hAnsiTheme="majorBidi" w:cstheme="majorBidi"/>
          <w:i/>
        </w:rPr>
        <w:t>minimum</w:t>
      </w:r>
      <w:r w:rsidRPr="0023051F">
        <w:rPr>
          <w:rFonts w:asciiTheme="majorBidi" w:hAnsiTheme="majorBidi" w:cstheme="majorBidi"/>
        </w:rPr>
        <w:t xml:space="preserve"> sebesar 50,03%. Jenjang SMA/MA nilai </w:t>
      </w:r>
      <w:r w:rsidRPr="0023051F">
        <w:rPr>
          <w:rFonts w:asciiTheme="majorBidi" w:hAnsiTheme="majorBidi" w:cstheme="majorBidi"/>
          <w:i/>
        </w:rPr>
        <w:t>maximum</w:t>
      </w:r>
      <w:r w:rsidRPr="0023051F">
        <w:rPr>
          <w:rFonts w:asciiTheme="majorBidi" w:hAnsiTheme="majorBidi" w:cstheme="majorBidi"/>
        </w:rPr>
        <w:t xml:space="preserve"> sebesar 60,53%, </w:t>
      </w:r>
      <w:r w:rsidRPr="0023051F">
        <w:rPr>
          <w:rFonts w:asciiTheme="majorBidi" w:hAnsiTheme="majorBidi" w:cstheme="majorBidi"/>
          <w:i/>
        </w:rPr>
        <w:t>minimum</w:t>
      </w:r>
      <w:r w:rsidRPr="0023051F">
        <w:rPr>
          <w:rFonts w:asciiTheme="majorBidi" w:hAnsiTheme="majorBidi" w:cstheme="majorBidi"/>
        </w:rPr>
        <w:t xml:space="preserve"> sebesar 32,60%, sedangkan jenjang Perguruan Tinggi (PT) memperoleh nilai </w:t>
      </w:r>
      <w:r w:rsidRPr="0023051F">
        <w:rPr>
          <w:rFonts w:asciiTheme="majorBidi" w:hAnsiTheme="majorBidi" w:cstheme="majorBidi"/>
          <w:i/>
        </w:rPr>
        <w:t>maximum</w:t>
      </w:r>
      <w:r w:rsidRPr="0023051F">
        <w:rPr>
          <w:rFonts w:asciiTheme="majorBidi" w:hAnsiTheme="majorBidi" w:cstheme="majorBidi"/>
        </w:rPr>
        <w:t xml:space="preserve"> sebesar 20,18% dan nilai </w:t>
      </w:r>
      <w:r w:rsidRPr="0023051F">
        <w:rPr>
          <w:rFonts w:asciiTheme="majorBidi" w:hAnsiTheme="majorBidi" w:cstheme="majorBidi"/>
          <w:i/>
        </w:rPr>
        <w:t>minimum</w:t>
      </w:r>
      <w:r w:rsidRPr="0023051F">
        <w:rPr>
          <w:rFonts w:asciiTheme="majorBidi" w:hAnsiTheme="majorBidi" w:cstheme="majorBidi"/>
        </w:rPr>
        <w:t xml:space="preserve"> sebesar 7,15%. Adapun berdasarkan nilai </w:t>
      </w:r>
      <w:r w:rsidRPr="0023051F">
        <w:rPr>
          <w:rFonts w:asciiTheme="majorBidi" w:hAnsiTheme="majorBidi" w:cstheme="majorBidi"/>
          <w:i/>
        </w:rPr>
        <w:t>range</w:t>
      </w:r>
      <w:r w:rsidRPr="0023051F">
        <w:rPr>
          <w:rFonts w:asciiTheme="majorBidi" w:hAnsiTheme="majorBidi" w:cstheme="majorBidi"/>
        </w:rPr>
        <w:t xml:space="preserve"> menunjukan bahwa selama periode 1994-2018 setiap pendidikan mengalami peningkatan APM yaitu: jenjang SD/MI sebesar 6,49%, jenjang SMP/MTs sebesar 28,72%, jenjang SMA/MA sebesar 27,93% dan jenjang Perguruan Tinggi (PT) meningkat sebesar 13,03%. Berdasarkan data pada </w:t>
      </w:r>
      <w:r w:rsidRPr="0023051F">
        <w:rPr>
          <w:rFonts w:asciiTheme="majorBidi" w:hAnsiTheme="majorBidi" w:cstheme="majorBidi"/>
          <w:lang w:val="en-GB"/>
        </w:rPr>
        <w:t>T</w:t>
      </w:r>
      <w:r w:rsidRPr="0023051F">
        <w:rPr>
          <w:rFonts w:asciiTheme="majorBidi" w:hAnsiTheme="majorBidi" w:cstheme="majorBidi"/>
        </w:rPr>
        <w:t>abel 3 dapat disimpulkan bahwa semakin tinggi jenjang pendidikan maka nilai rata-rata (mean) APM semakin rendah. Penjelasan lebih lanjut akan diuraikan pada bagian pembah</w:t>
      </w:r>
      <w:r w:rsidR="00A90924">
        <w:rPr>
          <w:rFonts w:asciiTheme="majorBidi" w:hAnsiTheme="majorBidi" w:cstheme="majorBidi"/>
        </w:rPr>
        <w:t>asan.</w:t>
      </w:r>
    </w:p>
    <w:p w:rsidR="00A90924" w:rsidRPr="00A90924" w:rsidRDefault="00A90924" w:rsidP="0023051F">
      <w:pPr>
        <w:pStyle w:val="IEEEParagraph"/>
        <w:ind w:firstLine="0"/>
        <w:rPr>
          <w:rFonts w:asciiTheme="majorBidi" w:hAnsiTheme="majorBidi" w:cstheme="majorBidi"/>
          <w:lang w:val="en-GB"/>
        </w:rPr>
      </w:pPr>
    </w:p>
    <w:p w:rsidR="0023051F" w:rsidRPr="0023051F" w:rsidRDefault="0023051F" w:rsidP="0023051F">
      <w:pPr>
        <w:pStyle w:val="IEEEParagraph"/>
        <w:jc w:val="center"/>
        <w:rPr>
          <w:rFonts w:asciiTheme="majorBidi" w:hAnsiTheme="majorBidi" w:cstheme="majorBidi"/>
        </w:rPr>
      </w:pPr>
    </w:p>
    <w:p w:rsidR="0023051F" w:rsidRPr="0023051F" w:rsidRDefault="0023051F" w:rsidP="0023051F">
      <w:pPr>
        <w:pStyle w:val="IEEEParagraph"/>
        <w:jc w:val="center"/>
        <w:rPr>
          <w:rFonts w:asciiTheme="majorBidi" w:hAnsiTheme="majorBidi" w:cstheme="majorBidi"/>
        </w:rPr>
      </w:pPr>
      <w:r w:rsidRPr="0023051F">
        <w:rPr>
          <w:rFonts w:asciiTheme="majorBidi" w:hAnsiTheme="majorBidi" w:cstheme="majorBidi"/>
        </w:rPr>
        <w:lastRenderedPageBreak/>
        <w:t>Tab</w:t>
      </w:r>
      <w:r w:rsidRPr="0023051F">
        <w:rPr>
          <w:rFonts w:asciiTheme="majorBidi" w:hAnsiTheme="majorBidi" w:cstheme="majorBidi"/>
          <w:lang w:val="en-GB"/>
        </w:rPr>
        <w:t>el</w:t>
      </w:r>
      <w:r w:rsidRPr="0023051F">
        <w:rPr>
          <w:rFonts w:asciiTheme="majorBidi" w:hAnsiTheme="majorBidi" w:cstheme="majorBidi"/>
        </w:rPr>
        <w:t xml:space="preserve"> 3</w:t>
      </w:r>
      <w:r w:rsidRPr="0023051F">
        <w:rPr>
          <w:rFonts w:asciiTheme="majorBidi" w:hAnsiTheme="majorBidi" w:cstheme="majorBidi"/>
          <w:lang w:val="en-GB"/>
        </w:rPr>
        <w:t>.</w:t>
      </w:r>
      <w:r w:rsidRPr="0023051F">
        <w:rPr>
          <w:rFonts w:asciiTheme="majorBidi" w:hAnsiTheme="majorBidi" w:cstheme="majorBidi"/>
        </w:rPr>
        <w:t xml:space="preserve"> Deskriptive Angka Partisipasi Murni (APM)</w:t>
      </w:r>
    </w:p>
    <w:tbl>
      <w:tblPr>
        <w:tblW w:w="8865" w:type="dxa"/>
        <w:jc w:val="center"/>
        <w:tblInd w:w="837" w:type="dxa"/>
        <w:tblBorders>
          <w:top w:val="single" w:sz="4" w:space="0" w:color="auto"/>
          <w:bottom w:val="single" w:sz="4" w:space="0" w:color="auto"/>
          <w:insideH w:val="single" w:sz="4" w:space="0" w:color="auto"/>
        </w:tblBorders>
        <w:tblLayout w:type="fixed"/>
        <w:tblCellMar>
          <w:left w:w="30" w:type="dxa"/>
          <w:right w:w="30" w:type="dxa"/>
        </w:tblCellMar>
        <w:tblLook w:val="0000"/>
      </w:tblPr>
      <w:tblGrid>
        <w:gridCol w:w="796"/>
        <w:gridCol w:w="2295"/>
        <w:gridCol w:w="1319"/>
        <w:gridCol w:w="1387"/>
        <w:gridCol w:w="1320"/>
        <w:gridCol w:w="1748"/>
      </w:tblGrid>
      <w:tr w:rsidR="0023051F" w:rsidRPr="0023051F" w:rsidTr="00A90924">
        <w:trPr>
          <w:cantSplit/>
          <w:trHeight w:val="194"/>
          <w:tblHeader/>
          <w:jc w:val="center"/>
        </w:trPr>
        <w:tc>
          <w:tcPr>
            <w:tcW w:w="8865" w:type="dxa"/>
            <w:gridSpan w:val="6"/>
            <w:shd w:val="clear" w:color="auto" w:fill="FFFFFF"/>
            <w:tcMar>
              <w:top w:w="30" w:type="dxa"/>
              <w:left w:w="30" w:type="dxa"/>
              <w:bottom w:w="30" w:type="dxa"/>
              <w:right w:w="30" w:type="dxa"/>
            </w:tcMar>
            <w:vAlign w:val="center"/>
          </w:tcPr>
          <w:p w:rsidR="0023051F" w:rsidRPr="0023051F" w:rsidRDefault="0023051F" w:rsidP="00100EF8">
            <w:pPr>
              <w:pStyle w:val="IEEEParagraph"/>
              <w:jc w:val="center"/>
              <w:rPr>
                <w:rFonts w:asciiTheme="majorBidi" w:hAnsiTheme="majorBidi" w:cstheme="majorBidi"/>
              </w:rPr>
            </w:pPr>
            <w:r w:rsidRPr="0023051F">
              <w:rPr>
                <w:rFonts w:asciiTheme="majorBidi" w:hAnsiTheme="majorBidi" w:cstheme="majorBidi"/>
                <w:b/>
                <w:bCs/>
              </w:rPr>
              <w:t>Statistics</w:t>
            </w:r>
          </w:p>
        </w:tc>
      </w:tr>
      <w:tr w:rsidR="0023051F" w:rsidRPr="0023051F" w:rsidTr="00A90924">
        <w:trPr>
          <w:cantSplit/>
          <w:trHeight w:val="378"/>
          <w:tblHeader/>
          <w:jc w:val="center"/>
        </w:trPr>
        <w:tc>
          <w:tcPr>
            <w:tcW w:w="796" w:type="dxa"/>
            <w:shd w:val="clear" w:color="auto" w:fill="FFFFFF"/>
            <w:tcMar>
              <w:top w:w="30" w:type="dxa"/>
              <w:left w:w="30" w:type="dxa"/>
              <w:bottom w:w="30" w:type="dxa"/>
              <w:right w:w="30" w:type="dxa"/>
            </w:tcMar>
          </w:tcPr>
          <w:p w:rsidR="0023051F" w:rsidRPr="0023051F" w:rsidRDefault="0023051F" w:rsidP="00D13265">
            <w:pPr>
              <w:pStyle w:val="IEEEParagraph"/>
              <w:rPr>
                <w:rFonts w:asciiTheme="majorBidi" w:hAnsiTheme="majorBidi" w:cstheme="majorBidi"/>
              </w:rPr>
            </w:pPr>
          </w:p>
        </w:tc>
        <w:tc>
          <w:tcPr>
            <w:tcW w:w="2295" w:type="dxa"/>
            <w:shd w:val="clear" w:color="auto" w:fill="FFFFFF"/>
            <w:tcMar>
              <w:top w:w="30" w:type="dxa"/>
              <w:left w:w="30" w:type="dxa"/>
              <w:bottom w:w="30" w:type="dxa"/>
              <w:right w:w="30" w:type="dxa"/>
            </w:tcMar>
          </w:tcPr>
          <w:p w:rsidR="0023051F" w:rsidRPr="0023051F" w:rsidRDefault="0023051F" w:rsidP="00D13265">
            <w:pPr>
              <w:pStyle w:val="IEEEParagraph"/>
              <w:rPr>
                <w:rFonts w:asciiTheme="majorBidi" w:hAnsiTheme="majorBidi" w:cstheme="majorBidi"/>
              </w:rPr>
            </w:pPr>
          </w:p>
        </w:tc>
        <w:tc>
          <w:tcPr>
            <w:tcW w:w="1319" w:type="dxa"/>
            <w:shd w:val="clear" w:color="auto" w:fill="FFFFFF"/>
            <w:tcMar>
              <w:top w:w="30" w:type="dxa"/>
              <w:left w:w="30" w:type="dxa"/>
              <w:bottom w:w="30" w:type="dxa"/>
              <w:right w:w="30" w:type="dxa"/>
            </w:tcMar>
            <w:vAlign w:val="bottom"/>
          </w:tcPr>
          <w:p w:rsidR="0023051F" w:rsidRPr="0023051F" w:rsidRDefault="0023051F" w:rsidP="00D13265">
            <w:pPr>
              <w:pStyle w:val="IEEEParagraph"/>
              <w:rPr>
                <w:rFonts w:asciiTheme="majorBidi" w:hAnsiTheme="majorBidi" w:cstheme="majorBidi"/>
              </w:rPr>
            </w:pPr>
            <w:r w:rsidRPr="0023051F">
              <w:rPr>
                <w:rFonts w:asciiTheme="majorBidi" w:hAnsiTheme="majorBidi" w:cstheme="majorBidi"/>
              </w:rPr>
              <w:t>SD/MI</w:t>
            </w:r>
          </w:p>
        </w:tc>
        <w:tc>
          <w:tcPr>
            <w:tcW w:w="1387" w:type="dxa"/>
            <w:shd w:val="clear" w:color="auto" w:fill="FFFFFF"/>
            <w:tcMar>
              <w:top w:w="30" w:type="dxa"/>
              <w:left w:w="30" w:type="dxa"/>
              <w:bottom w:w="30" w:type="dxa"/>
              <w:right w:w="30" w:type="dxa"/>
            </w:tcMar>
            <w:vAlign w:val="bottom"/>
          </w:tcPr>
          <w:p w:rsidR="0023051F" w:rsidRPr="0023051F" w:rsidRDefault="0023051F" w:rsidP="00D13265">
            <w:pPr>
              <w:pStyle w:val="IEEEParagraph"/>
              <w:rPr>
                <w:rFonts w:asciiTheme="majorBidi" w:hAnsiTheme="majorBidi" w:cstheme="majorBidi"/>
              </w:rPr>
            </w:pPr>
            <w:r w:rsidRPr="0023051F">
              <w:rPr>
                <w:rFonts w:asciiTheme="majorBidi" w:hAnsiTheme="majorBidi" w:cstheme="majorBidi"/>
              </w:rPr>
              <w:t>SMP/MTs</w:t>
            </w:r>
          </w:p>
        </w:tc>
        <w:tc>
          <w:tcPr>
            <w:tcW w:w="1320" w:type="dxa"/>
            <w:shd w:val="clear" w:color="auto" w:fill="FFFFFF"/>
            <w:tcMar>
              <w:top w:w="30" w:type="dxa"/>
              <w:left w:w="30" w:type="dxa"/>
              <w:bottom w:w="30" w:type="dxa"/>
              <w:right w:w="30" w:type="dxa"/>
            </w:tcMar>
            <w:vAlign w:val="bottom"/>
          </w:tcPr>
          <w:p w:rsidR="0023051F" w:rsidRPr="0023051F" w:rsidRDefault="0023051F" w:rsidP="00D13265">
            <w:pPr>
              <w:pStyle w:val="IEEEParagraph"/>
              <w:rPr>
                <w:rFonts w:asciiTheme="majorBidi" w:hAnsiTheme="majorBidi" w:cstheme="majorBidi"/>
              </w:rPr>
            </w:pPr>
            <w:r w:rsidRPr="0023051F">
              <w:rPr>
                <w:rFonts w:asciiTheme="majorBidi" w:hAnsiTheme="majorBidi" w:cstheme="majorBidi"/>
              </w:rPr>
              <w:t>SMA/MA</w:t>
            </w:r>
          </w:p>
        </w:tc>
        <w:tc>
          <w:tcPr>
            <w:tcW w:w="1748" w:type="dxa"/>
            <w:shd w:val="clear" w:color="auto" w:fill="FFFFFF"/>
            <w:tcMar>
              <w:top w:w="30" w:type="dxa"/>
              <w:left w:w="30" w:type="dxa"/>
              <w:bottom w:w="30" w:type="dxa"/>
              <w:right w:w="30" w:type="dxa"/>
            </w:tcMar>
            <w:vAlign w:val="bottom"/>
          </w:tcPr>
          <w:p w:rsidR="0023051F" w:rsidRPr="0023051F" w:rsidRDefault="0023051F" w:rsidP="00100EF8">
            <w:pPr>
              <w:pStyle w:val="IEEEParagraph"/>
              <w:jc w:val="center"/>
              <w:rPr>
                <w:rFonts w:asciiTheme="majorBidi" w:hAnsiTheme="majorBidi" w:cstheme="majorBidi"/>
              </w:rPr>
            </w:pPr>
            <w:r w:rsidRPr="0023051F">
              <w:rPr>
                <w:rFonts w:asciiTheme="majorBidi" w:hAnsiTheme="majorBidi" w:cstheme="majorBidi"/>
              </w:rPr>
              <w:t>Perguruan Tinggi</w:t>
            </w:r>
          </w:p>
        </w:tc>
      </w:tr>
      <w:tr w:rsidR="0023051F" w:rsidRPr="0023051F" w:rsidTr="00A90924">
        <w:trPr>
          <w:cantSplit/>
          <w:trHeight w:val="204"/>
          <w:tblHeader/>
          <w:jc w:val="center"/>
        </w:trPr>
        <w:tc>
          <w:tcPr>
            <w:tcW w:w="796" w:type="dxa"/>
            <w:vMerge w:val="restart"/>
            <w:shd w:val="clear" w:color="auto" w:fill="FFFFFF"/>
            <w:tcMar>
              <w:top w:w="30" w:type="dxa"/>
              <w:left w:w="30" w:type="dxa"/>
              <w:bottom w:w="30" w:type="dxa"/>
              <w:right w:w="30" w:type="dxa"/>
            </w:tcMar>
          </w:tcPr>
          <w:p w:rsidR="0023051F" w:rsidRPr="0023051F" w:rsidRDefault="0023051F" w:rsidP="00D13265">
            <w:pPr>
              <w:pStyle w:val="IEEEParagraph"/>
              <w:rPr>
                <w:rFonts w:asciiTheme="majorBidi" w:hAnsiTheme="majorBidi" w:cstheme="majorBidi"/>
              </w:rPr>
            </w:pPr>
            <w:r w:rsidRPr="0023051F">
              <w:rPr>
                <w:rFonts w:asciiTheme="majorBidi" w:hAnsiTheme="majorBidi" w:cstheme="majorBidi"/>
              </w:rPr>
              <w:t>N</w:t>
            </w:r>
          </w:p>
        </w:tc>
        <w:tc>
          <w:tcPr>
            <w:tcW w:w="2295" w:type="dxa"/>
            <w:shd w:val="clear" w:color="auto" w:fill="FFFFFF"/>
            <w:tcMar>
              <w:top w:w="30" w:type="dxa"/>
              <w:left w:w="30" w:type="dxa"/>
              <w:bottom w:w="30" w:type="dxa"/>
              <w:right w:w="30" w:type="dxa"/>
            </w:tcMar>
          </w:tcPr>
          <w:p w:rsidR="0023051F" w:rsidRPr="0023051F" w:rsidRDefault="0023051F" w:rsidP="00D13265">
            <w:pPr>
              <w:pStyle w:val="IEEEParagraph"/>
              <w:rPr>
                <w:rFonts w:asciiTheme="majorBidi" w:hAnsiTheme="majorBidi" w:cstheme="majorBidi"/>
              </w:rPr>
            </w:pPr>
            <w:r w:rsidRPr="0023051F">
              <w:rPr>
                <w:rFonts w:asciiTheme="majorBidi" w:hAnsiTheme="majorBidi" w:cstheme="majorBidi"/>
              </w:rPr>
              <w:t>Valid</w:t>
            </w:r>
          </w:p>
        </w:tc>
        <w:tc>
          <w:tcPr>
            <w:tcW w:w="1319" w:type="dxa"/>
            <w:shd w:val="clear" w:color="auto" w:fill="FFFFFF"/>
            <w:tcMar>
              <w:top w:w="30" w:type="dxa"/>
              <w:left w:w="30" w:type="dxa"/>
              <w:bottom w:w="30" w:type="dxa"/>
              <w:right w:w="30" w:type="dxa"/>
            </w:tcMar>
            <w:vAlign w:val="center"/>
          </w:tcPr>
          <w:p w:rsidR="0023051F" w:rsidRPr="0023051F" w:rsidRDefault="0023051F" w:rsidP="00D13265">
            <w:pPr>
              <w:pStyle w:val="IEEEParagraph"/>
              <w:jc w:val="center"/>
              <w:rPr>
                <w:rFonts w:asciiTheme="majorBidi" w:hAnsiTheme="majorBidi" w:cstheme="majorBidi"/>
              </w:rPr>
            </w:pPr>
            <w:r w:rsidRPr="0023051F">
              <w:rPr>
                <w:rFonts w:asciiTheme="majorBidi" w:hAnsiTheme="majorBidi" w:cstheme="majorBidi"/>
              </w:rPr>
              <w:t>25</w:t>
            </w:r>
          </w:p>
        </w:tc>
        <w:tc>
          <w:tcPr>
            <w:tcW w:w="1387" w:type="dxa"/>
            <w:shd w:val="clear" w:color="auto" w:fill="FFFFFF"/>
            <w:tcMar>
              <w:top w:w="30" w:type="dxa"/>
              <w:left w:w="30" w:type="dxa"/>
              <w:bottom w:w="30" w:type="dxa"/>
              <w:right w:w="30" w:type="dxa"/>
            </w:tcMar>
            <w:vAlign w:val="center"/>
          </w:tcPr>
          <w:p w:rsidR="0023051F" w:rsidRPr="0023051F" w:rsidRDefault="0023051F" w:rsidP="00D13265">
            <w:pPr>
              <w:pStyle w:val="IEEEParagraph"/>
              <w:jc w:val="center"/>
              <w:rPr>
                <w:rFonts w:asciiTheme="majorBidi" w:hAnsiTheme="majorBidi" w:cstheme="majorBidi"/>
              </w:rPr>
            </w:pPr>
            <w:r w:rsidRPr="0023051F">
              <w:rPr>
                <w:rFonts w:asciiTheme="majorBidi" w:hAnsiTheme="majorBidi" w:cstheme="majorBidi"/>
              </w:rPr>
              <w:t>25</w:t>
            </w:r>
          </w:p>
        </w:tc>
        <w:tc>
          <w:tcPr>
            <w:tcW w:w="1320" w:type="dxa"/>
            <w:shd w:val="clear" w:color="auto" w:fill="FFFFFF"/>
            <w:tcMar>
              <w:top w:w="30" w:type="dxa"/>
              <w:left w:w="30" w:type="dxa"/>
              <w:bottom w:w="30" w:type="dxa"/>
              <w:right w:w="30" w:type="dxa"/>
            </w:tcMar>
            <w:vAlign w:val="center"/>
          </w:tcPr>
          <w:p w:rsidR="0023051F" w:rsidRPr="0023051F" w:rsidRDefault="0023051F" w:rsidP="00D13265">
            <w:pPr>
              <w:pStyle w:val="IEEEParagraph"/>
              <w:jc w:val="center"/>
              <w:rPr>
                <w:rFonts w:asciiTheme="majorBidi" w:hAnsiTheme="majorBidi" w:cstheme="majorBidi"/>
              </w:rPr>
            </w:pPr>
            <w:r w:rsidRPr="0023051F">
              <w:rPr>
                <w:rFonts w:asciiTheme="majorBidi" w:hAnsiTheme="majorBidi" w:cstheme="majorBidi"/>
              </w:rPr>
              <w:t>25</w:t>
            </w:r>
          </w:p>
        </w:tc>
        <w:tc>
          <w:tcPr>
            <w:tcW w:w="1748" w:type="dxa"/>
            <w:shd w:val="clear" w:color="auto" w:fill="FFFFFF"/>
            <w:tcMar>
              <w:top w:w="30" w:type="dxa"/>
              <w:left w:w="30" w:type="dxa"/>
              <w:bottom w:w="30" w:type="dxa"/>
              <w:right w:w="30" w:type="dxa"/>
            </w:tcMar>
            <w:vAlign w:val="center"/>
          </w:tcPr>
          <w:p w:rsidR="0023051F" w:rsidRPr="0023051F" w:rsidRDefault="0023051F" w:rsidP="00D13265">
            <w:pPr>
              <w:pStyle w:val="IEEEParagraph"/>
              <w:jc w:val="center"/>
              <w:rPr>
                <w:rFonts w:asciiTheme="majorBidi" w:hAnsiTheme="majorBidi" w:cstheme="majorBidi"/>
              </w:rPr>
            </w:pPr>
            <w:r w:rsidRPr="0023051F">
              <w:rPr>
                <w:rFonts w:asciiTheme="majorBidi" w:hAnsiTheme="majorBidi" w:cstheme="majorBidi"/>
              </w:rPr>
              <w:t>25</w:t>
            </w:r>
          </w:p>
        </w:tc>
      </w:tr>
      <w:tr w:rsidR="0023051F" w:rsidRPr="0023051F" w:rsidTr="00A90924">
        <w:trPr>
          <w:cantSplit/>
          <w:trHeight w:val="83"/>
          <w:tblHeader/>
          <w:jc w:val="center"/>
        </w:trPr>
        <w:tc>
          <w:tcPr>
            <w:tcW w:w="796" w:type="dxa"/>
            <w:vMerge/>
            <w:shd w:val="clear" w:color="auto" w:fill="FFFFFF"/>
            <w:tcMar>
              <w:top w:w="30" w:type="dxa"/>
              <w:left w:w="30" w:type="dxa"/>
              <w:bottom w:w="30" w:type="dxa"/>
              <w:right w:w="30" w:type="dxa"/>
            </w:tcMar>
          </w:tcPr>
          <w:p w:rsidR="0023051F" w:rsidRPr="0023051F" w:rsidRDefault="0023051F" w:rsidP="00D13265">
            <w:pPr>
              <w:pStyle w:val="IEEEParagraph"/>
              <w:rPr>
                <w:rFonts w:asciiTheme="majorBidi" w:hAnsiTheme="majorBidi" w:cstheme="majorBidi"/>
              </w:rPr>
            </w:pPr>
          </w:p>
        </w:tc>
        <w:tc>
          <w:tcPr>
            <w:tcW w:w="2295" w:type="dxa"/>
            <w:shd w:val="clear" w:color="auto" w:fill="FFFFFF"/>
            <w:tcMar>
              <w:top w:w="30" w:type="dxa"/>
              <w:left w:w="30" w:type="dxa"/>
              <w:bottom w:w="30" w:type="dxa"/>
              <w:right w:w="30" w:type="dxa"/>
            </w:tcMar>
          </w:tcPr>
          <w:p w:rsidR="0023051F" w:rsidRPr="0023051F" w:rsidRDefault="0023051F" w:rsidP="00D13265">
            <w:pPr>
              <w:pStyle w:val="IEEEParagraph"/>
              <w:rPr>
                <w:rFonts w:asciiTheme="majorBidi" w:hAnsiTheme="majorBidi" w:cstheme="majorBidi"/>
              </w:rPr>
            </w:pPr>
            <w:r w:rsidRPr="0023051F">
              <w:rPr>
                <w:rFonts w:asciiTheme="majorBidi" w:hAnsiTheme="majorBidi" w:cstheme="majorBidi"/>
              </w:rPr>
              <w:t>Missing</w:t>
            </w:r>
          </w:p>
        </w:tc>
        <w:tc>
          <w:tcPr>
            <w:tcW w:w="1319" w:type="dxa"/>
            <w:shd w:val="clear" w:color="auto" w:fill="FFFFFF"/>
            <w:tcMar>
              <w:top w:w="30" w:type="dxa"/>
              <w:left w:w="30" w:type="dxa"/>
              <w:bottom w:w="30" w:type="dxa"/>
              <w:right w:w="30" w:type="dxa"/>
            </w:tcMar>
            <w:vAlign w:val="center"/>
          </w:tcPr>
          <w:p w:rsidR="0023051F" w:rsidRPr="0023051F" w:rsidRDefault="0023051F" w:rsidP="00D13265">
            <w:pPr>
              <w:pStyle w:val="IEEEParagraph"/>
              <w:jc w:val="center"/>
              <w:rPr>
                <w:rFonts w:asciiTheme="majorBidi" w:hAnsiTheme="majorBidi" w:cstheme="majorBidi"/>
              </w:rPr>
            </w:pPr>
            <w:r w:rsidRPr="0023051F">
              <w:rPr>
                <w:rFonts w:asciiTheme="majorBidi" w:hAnsiTheme="majorBidi" w:cstheme="majorBidi"/>
              </w:rPr>
              <w:t>0</w:t>
            </w:r>
          </w:p>
        </w:tc>
        <w:tc>
          <w:tcPr>
            <w:tcW w:w="1387" w:type="dxa"/>
            <w:shd w:val="clear" w:color="auto" w:fill="FFFFFF"/>
            <w:tcMar>
              <w:top w:w="30" w:type="dxa"/>
              <w:left w:w="30" w:type="dxa"/>
              <w:bottom w:w="30" w:type="dxa"/>
              <w:right w:w="30" w:type="dxa"/>
            </w:tcMar>
            <w:vAlign w:val="center"/>
          </w:tcPr>
          <w:p w:rsidR="0023051F" w:rsidRPr="0023051F" w:rsidRDefault="0023051F" w:rsidP="00D13265">
            <w:pPr>
              <w:pStyle w:val="IEEEParagraph"/>
              <w:jc w:val="center"/>
              <w:rPr>
                <w:rFonts w:asciiTheme="majorBidi" w:hAnsiTheme="majorBidi" w:cstheme="majorBidi"/>
              </w:rPr>
            </w:pPr>
            <w:r w:rsidRPr="0023051F">
              <w:rPr>
                <w:rFonts w:asciiTheme="majorBidi" w:hAnsiTheme="majorBidi" w:cstheme="majorBidi"/>
              </w:rPr>
              <w:t>0</w:t>
            </w:r>
          </w:p>
        </w:tc>
        <w:tc>
          <w:tcPr>
            <w:tcW w:w="1320" w:type="dxa"/>
            <w:shd w:val="clear" w:color="auto" w:fill="FFFFFF"/>
            <w:tcMar>
              <w:top w:w="30" w:type="dxa"/>
              <w:left w:w="30" w:type="dxa"/>
              <w:bottom w:w="30" w:type="dxa"/>
              <w:right w:w="30" w:type="dxa"/>
            </w:tcMar>
            <w:vAlign w:val="center"/>
          </w:tcPr>
          <w:p w:rsidR="0023051F" w:rsidRPr="0023051F" w:rsidRDefault="0023051F" w:rsidP="00D13265">
            <w:pPr>
              <w:pStyle w:val="IEEEParagraph"/>
              <w:jc w:val="center"/>
              <w:rPr>
                <w:rFonts w:asciiTheme="majorBidi" w:hAnsiTheme="majorBidi" w:cstheme="majorBidi"/>
              </w:rPr>
            </w:pPr>
            <w:r w:rsidRPr="0023051F">
              <w:rPr>
                <w:rFonts w:asciiTheme="majorBidi" w:hAnsiTheme="majorBidi" w:cstheme="majorBidi"/>
              </w:rPr>
              <w:t>0</w:t>
            </w:r>
          </w:p>
        </w:tc>
        <w:tc>
          <w:tcPr>
            <w:tcW w:w="1748" w:type="dxa"/>
            <w:shd w:val="clear" w:color="auto" w:fill="FFFFFF"/>
            <w:tcMar>
              <w:top w:w="30" w:type="dxa"/>
              <w:left w:w="30" w:type="dxa"/>
              <w:bottom w:w="30" w:type="dxa"/>
              <w:right w:w="30" w:type="dxa"/>
            </w:tcMar>
            <w:vAlign w:val="center"/>
          </w:tcPr>
          <w:p w:rsidR="0023051F" w:rsidRPr="0023051F" w:rsidRDefault="0023051F" w:rsidP="00D13265">
            <w:pPr>
              <w:pStyle w:val="IEEEParagraph"/>
              <w:jc w:val="center"/>
              <w:rPr>
                <w:rFonts w:asciiTheme="majorBidi" w:hAnsiTheme="majorBidi" w:cstheme="majorBidi"/>
              </w:rPr>
            </w:pPr>
            <w:r w:rsidRPr="0023051F">
              <w:rPr>
                <w:rFonts w:asciiTheme="majorBidi" w:hAnsiTheme="majorBidi" w:cstheme="majorBidi"/>
              </w:rPr>
              <w:t>0</w:t>
            </w:r>
          </w:p>
        </w:tc>
      </w:tr>
      <w:tr w:rsidR="0023051F" w:rsidRPr="0023051F" w:rsidTr="00A90924">
        <w:trPr>
          <w:cantSplit/>
          <w:trHeight w:val="194"/>
          <w:tblHeader/>
          <w:jc w:val="center"/>
        </w:trPr>
        <w:tc>
          <w:tcPr>
            <w:tcW w:w="3091" w:type="dxa"/>
            <w:gridSpan w:val="2"/>
            <w:shd w:val="clear" w:color="auto" w:fill="FFFFFF"/>
            <w:tcMar>
              <w:top w:w="30" w:type="dxa"/>
              <w:left w:w="30" w:type="dxa"/>
              <w:bottom w:w="30" w:type="dxa"/>
              <w:right w:w="30" w:type="dxa"/>
            </w:tcMar>
          </w:tcPr>
          <w:p w:rsidR="0023051F" w:rsidRPr="0023051F" w:rsidRDefault="0023051F" w:rsidP="00D13265">
            <w:pPr>
              <w:pStyle w:val="IEEEParagraph"/>
              <w:rPr>
                <w:rFonts w:asciiTheme="majorBidi" w:hAnsiTheme="majorBidi" w:cstheme="majorBidi"/>
              </w:rPr>
            </w:pPr>
            <w:r w:rsidRPr="0023051F">
              <w:rPr>
                <w:rFonts w:asciiTheme="majorBidi" w:hAnsiTheme="majorBidi" w:cstheme="majorBidi"/>
              </w:rPr>
              <w:t>Mean</w:t>
            </w:r>
          </w:p>
        </w:tc>
        <w:tc>
          <w:tcPr>
            <w:tcW w:w="1319" w:type="dxa"/>
            <w:shd w:val="clear" w:color="auto" w:fill="FFFFFF"/>
            <w:tcMar>
              <w:top w:w="30" w:type="dxa"/>
              <w:left w:w="30" w:type="dxa"/>
              <w:bottom w:w="30" w:type="dxa"/>
              <w:right w:w="30" w:type="dxa"/>
            </w:tcMar>
            <w:vAlign w:val="center"/>
          </w:tcPr>
          <w:p w:rsidR="0023051F" w:rsidRPr="0023051F" w:rsidRDefault="0023051F" w:rsidP="00D13265">
            <w:pPr>
              <w:pStyle w:val="IEEEParagraph"/>
              <w:jc w:val="center"/>
              <w:rPr>
                <w:rFonts w:asciiTheme="majorBidi" w:hAnsiTheme="majorBidi" w:cstheme="majorBidi"/>
              </w:rPr>
            </w:pPr>
            <w:r w:rsidRPr="0023051F">
              <w:rPr>
                <w:rFonts w:asciiTheme="majorBidi" w:hAnsiTheme="majorBidi" w:cstheme="majorBidi"/>
              </w:rPr>
              <w:t>93.6839</w:t>
            </w:r>
          </w:p>
        </w:tc>
        <w:tc>
          <w:tcPr>
            <w:tcW w:w="1387" w:type="dxa"/>
            <w:shd w:val="clear" w:color="auto" w:fill="FFFFFF"/>
            <w:tcMar>
              <w:top w:w="30" w:type="dxa"/>
              <w:left w:w="30" w:type="dxa"/>
              <w:bottom w:w="30" w:type="dxa"/>
              <w:right w:w="30" w:type="dxa"/>
            </w:tcMar>
            <w:vAlign w:val="center"/>
          </w:tcPr>
          <w:p w:rsidR="0023051F" w:rsidRPr="0023051F" w:rsidRDefault="0023051F" w:rsidP="00D13265">
            <w:pPr>
              <w:pStyle w:val="IEEEParagraph"/>
              <w:jc w:val="center"/>
              <w:rPr>
                <w:rFonts w:asciiTheme="majorBidi" w:hAnsiTheme="majorBidi" w:cstheme="majorBidi"/>
              </w:rPr>
            </w:pPr>
            <w:r w:rsidRPr="0023051F">
              <w:rPr>
                <w:rFonts w:asciiTheme="majorBidi" w:hAnsiTheme="majorBidi" w:cstheme="majorBidi"/>
              </w:rPr>
              <w:t>65.7515</w:t>
            </w:r>
          </w:p>
        </w:tc>
        <w:tc>
          <w:tcPr>
            <w:tcW w:w="1320" w:type="dxa"/>
            <w:shd w:val="clear" w:color="auto" w:fill="FFFFFF"/>
            <w:tcMar>
              <w:top w:w="30" w:type="dxa"/>
              <w:left w:w="30" w:type="dxa"/>
              <w:bottom w:w="30" w:type="dxa"/>
              <w:right w:w="30" w:type="dxa"/>
            </w:tcMar>
            <w:vAlign w:val="center"/>
          </w:tcPr>
          <w:p w:rsidR="0023051F" w:rsidRPr="0023051F" w:rsidRDefault="0023051F" w:rsidP="00D13265">
            <w:pPr>
              <w:pStyle w:val="IEEEParagraph"/>
              <w:jc w:val="center"/>
              <w:rPr>
                <w:rFonts w:asciiTheme="majorBidi" w:hAnsiTheme="majorBidi" w:cstheme="majorBidi"/>
              </w:rPr>
            </w:pPr>
            <w:r w:rsidRPr="0023051F">
              <w:rPr>
                <w:rFonts w:asciiTheme="majorBidi" w:hAnsiTheme="majorBidi" w:cstheme="majorBidi"/>
              </w:rPr>
              <w:t>45.2495</w:t>
            </w:r>
          </w:p>
        </w:tc>
        <w:tc>
          <w:tcPr>
            <w:tcW w:w="1748" w:type="dxa"/>
            <w:shd w:val="clear" w:color="auto" w:fill="FFFFFF"/>
            <w:tcMar>
              <w:top w:w="30" w:type="dxa"/>
              <w:left w:w="30" w:type="dxa"/>
              <w:bottom w:w="30" w:type="dxa"/>
              <w:right w:w="30" w:type="dxa"/>
            </w:tcMar>
            <w:vAlign w:val="center"/>
          </w:tcPr>
          <w:p w:rsidR="0023051F" w:rsidRPr="0023051F" w:rsidRDefault="0023051F" w:rsidP="00D13265">
            <w:pPr>
              <w:pStyle w:val="IEEEParagraph"/>
              <w:jc w:val="center"/>
              <w:rPr>
                <w:rFonts w:asciiTheme="majorBidi" w:hAnsiTheme="majorBidi" w:cstheme="majorBidi"/>
              </w:rPr>
            </w:pPr>
            <w:r w:rsidRPr="0023051F">
              <w:rPr>
                <w:rFonts w:asciiTheme="majorBidi" w:hAnsiTheme="majorBidi" w:cstheme="majorBidi"/>
              </w:rPr>
              <w:t>11.3284</w:t>
            </w:r>
          </w:p>
        </w:tc>
      </w:tr>
      <w:tr w:rsidR="0023051F" w:rsidRPr="0023051F" w:rsidTr="00A90924">
        <w:trPr>
          <w:cantSplit/>
          <w:trHeight w:val="184"/>
          <w:tblHeader/>
          <w:jc w:val="center"/>
        </w:trPr>
        <w:tc>
          <w:tcPr>
            <w:tcW w:w="3091" w:type="dxa"/>
            <w:gridSpan w:val="2"/>
            <w:shd w:val="clear" w:color="auto" w:fill="FFFFFF"/>
            <w:tcMar>
              <w:top w:w="30" w:type="dxa"/>
              <w:left w:w="30" w:type="dxa"/>
              <w:bottom w:w="30" w:type="dxa"/>
              <w:right w:w="30" w:type="dxa"/>
            </w:tcMar>
          </w:tcPr>
          <w:p w:rsidR="0023051F" w:rsidRPr="0023051F" w:rsidRDefault="0023051F" w:rsidP="00D13265">
            <w:pPr>
              <w:pStyle w:val="IEEEParagraph"/>
              <w:rPr>
                <w:rFonts w:asciiTheme="majorBidi" w:hAnsiTheme="majorBidi" w:cstheme="majorBidi"/>
              </w:rPr>
            </w:pPr>
            <w:r w:rsidRPr="0023051F">
              <w:rPr>
                <w:rFonts w:asciiTheme="majorBidi" w:hAnsiTheme="majorBidi" w:cstheme="majorBidi"/>
              </w:rPr>
              <w:t>Std. Error of Mean</w:t>
            </w:r>
          </w:p>
        </w:tc>
        <w:tc>
          <w:tcPr>
            <w:tcW w:w="1319" w:type="dxa"/>
            <w:shd w:val="clear" w:color="auto" w:fill="FFFFFF"/>
            <w:tcMar>
              <w:top w:w="30" w:type="dxa"/>
              <w:left w:w="30" w:type="dxa"/>
              <w:bottom w:w="30" w:type="dxa"/>
              <w:right w:w="30" w:type="dxa"/>
            </w:tcMar>
            <w:vAlign w:val="center"/>
          </w:tcPr>
          <w:p w:rsidR="0023051F" w:rsidRPr="0023051F" w:rsidRDefault="0023051F" w:rsidP="00D13265">
            <w:pPr>
              <w:pStyle w:val="IEEEParagraph"/>
              <w:jc w:val="center"/>
              <w:rPr>
                <w:rFonts w:asciiTheme="majorBidi" w:hAnsiTheme="majorBidi" w:cstheme="majorBidi"/>
              </w:rPr>
            </w:pPr>
            <w:r w:rsidRPr="0023051F">
              <w:rPr>
                <w:rFonts w:asciiTheme="majorBidi" w:hAnsiTheme="majorBidi" w:cstheme="majorBidi"/>
              </w:rPr>
              <w:t>.37873</w:t>
            </w:r>
          </w:p>
        </w:tc>
        <w:tc>
          <w:tcPr>
            <w:tcW w:w="1387" w:type="dxa"/>
            <w:shd w:val="clear" w:color="auto" w:fill="FFFFFF"/>
            <w:tcMar>
              <w:top w:w="30" w:type="dxa"/>
              <w:left w:w="30" w:type="dxa"/>
              <w:bottom w:w="30" w:type="dxa"/>
              <w:right w:w="30" w:type="dxa"/>
            </w:tcMar>
            <w:vAlign w:val="center"/>
          </w:tcPr>
          <w:p w:rsidR="0023051F" w:rsidRPr="0023051F" w:rsidRDefault="0023051F" w:rsidP="00D13265">
            <w:pPr>
              <w:pStyle w:val="IEEEParagraph"/>
              <w:jc w:val="center"/>
              <w:rPr>
                <w:rFonts w:asciiTheme="majorBidi" w:hAnsiTheme="majorBidi" w:cstheme="majorBidi"/>
              </w:rPr>
            </w:pPr>
            <w:r w:rsidRPr="0023051F">
              <w:rPr>
                <w:rFonts w:asciiTheme="majorBidi" w:hAnsiTheme="majorBidi" w:cstheme="majorBidi"/>
              </w:rPr>
              <w:t>1.68645</w:t>
            </w:r>
          </w:p>
        </w:tc>
        <w:tc>
          <w:tcPr>
            <w:tcW w:w="1320" w:type="dxa"/>
            <w:shd w:val="clear" w:color="auto" w:fill="FFFFFF"/>
            <w:tcMar>
              <w:top w:w="30" w:type="dxa"/>
              <w:left w:w="30" w:type="dxa"/>
              <w:bottom w:w="30" w:type="dxa"/>
              <w:right w:w="30" w:type="dxa"/>
            </w:tcMar>
            <w:vAlign w:val="center"/>
          </w:tcPr>
          <w:p w:rsidR="0023051F" w:rsidRPr="0023051F" w:rsidRDefault="0023051F" w:rsidP="00D13265">
            <w:pPr>
              <w:pStyle w:val="IEEEParagraph"/>
              <w:jc w:val="center"/>
              <w:rPr>
                <w:rFonts w:asciiTheme="majorBidi" w:hAnsiTheme="majorBidi" w:cstheme="majorBidi"/>
              </w:rPr>
            </w:pPr>
            <w:r w:rsidRPr="0023051F">
              <w:rPr>
                <w:rFonts w:asciiTheme="majorBidi" w:hAnsiTheme="majorBidi" w:cstheme="majorBidi"/>
              </w:rPr>
              <w:t>1.81635</w:t>
            </w:r>
          </w:p>
        </w:tc>
        <w:tc>
          <w:tcPr>
            <w:tcW w:w="1748" w:type="dxa"/>
            <w:shd w:val="clear" w:color="auto" w:fill="FFFFFF"/>
            <w:tcMar>
              <w:top w:w="30" w:type="dxa"/>
              <w:left w:w="30" w:type="dxa"/>
              <w:bottom w:w="30" w:type="dxa"/>
              <w:right w:w="30" w:type="dxa"/>
            </w:tcMar>
            <w:vAlign w:val="center"/>
          </w:tcPr>
          <w:p w:rsidR="0023051F" w:rsidRPr="0023051F" w:rsidRDefault="0023051F" w:rsidP="00D13265">
            <w:pPr>
              <w:pStyle w:val="IEEEParagraph"/>
              <w:jc w:val="center"/>
              <w:rPr>
                <w:rFonts w:asciiTheme="majorBidi" w:hAnsiTheme="majorBidi" w:cstheme="majorBidi"/>
              </w:rPr>
            </w:pPr>
            <w:r w:rsidRPr="0023051F">
              <w:rPr>
                <w:rFonts w:asciiTheme="majorBidi" w:hAnsiTheme="majorBidi" w:cstheme="majorBidi"/>
              </w:rPr>
              <w:t>.87414</w:t>
            </w:r>
          </w:p>
        </w:tc>
      </w:tr>
      <w:tr w:rsidR="0023051F" w:rsidRPr="0023051F" w:rsidTr="00A90924">
        <w:trPr>
          <w:cantSplit/>
          <w:trHeight w:val="194"/>
          <w:tblHeader/>
          <w:jc w:val="center"/>
        </w:trPr>
        <w:tc>
          <w:tcPr>
            <w:tcW w:w="3091" w:type="dxa"/>
            <w:gridSpan w:val="2"/>
            <w:shd w:val="clear" w:color="auto" w:fill="FFFFFF"/>
            <w:tcMar>
              <w:top w:w="30" w:type="dxa"/>
              <w:left w:w="30" w:type="dxa"/>
              <w:bottom w:w="30" w:type="dxa"/>
              <w:right w:w="30" w:type="dxa"/>
            </w:tcMar>
          </w:tcPr>
          <w:p w:rsidR="0023051F" w:rsidRPr="0023051F" w:rsidRDefault="0023051F" w:rsidP="00D13265">
            <w:pPr>
              <w:pStyle w:val="IEEEParagraph"/>
              <w:rPr>
                <w:rFonts w:asciiTheme="majorBidi" w:hAnsiTheme="majorBidi" w:cstheme="majorBidi"/>
              </w:rPr>
            </w:pPr>
            <w:r w:rsidRPr="0023051F">
              <w:rPr>
                <w:rFonts w:asciiTheme="majorBidi" w:hAnsiTheme="majorBidi" w:cstheme="majorBidi"/>
              </w:rPr>
              <w:t>Median</w:t>
            </w:r>
          </w:p>
        </w:tc>
        <w:tc>
          <w:tcPr>
            <w:tcW w:w="1319" w:type="dxa"/>
            <w:shd w:val="clear" w:color="auto" w:fill="FFFFFF"/>
            <w:tcMar>
              <w:top w:w="30" w:type="dxa"/>
              <w:left w:w="30" w:type="dxa"/>
              <w:bottom w:w="30" w:type="dxa"/>
              <w:right w:w="30" w:type="dxa"/>
            </w:tcMar>
            <w:vAlign w:val="center"/>
          </w:tcPr>
          <w:p w:rsidR="0023051F" w:rsidRPr="0023051F" w:rsidRDefault="0023051F" w:rsidP="00D13265">
            <w:pPr>
              <w:pStyle w:val="IEEEParagraph"/>
              <w:jc w:val="center"/>
              <w:rPr>
                <w:rFonts w:asciiTheme="majorBidi" w:hAnsiTheme="majorBidi" w:cstheme="majorBidi"/>
              </w:rPr>
            </w:pPr>
            <w:r w:rsidRPr="0023051F">
              <w:rPr>
                <w:rFonts w:asciiTheme="majorBidi" w:hAnsiTheme="majorBidi" w:cstheme="majorBidi"/>
              </w:rPr>
              <w:t>93.0400</w:t>
            </w:r>
          </w:p>
        </w:tc>
        <w:tc>
          <w:tcPr>
            <w:tcW w:w="1387" w:type="dxa"/>
            <w:shd w:val="clear" w:color="auto" w:fill="FFFFFF"/>
            <w:tcMar>
              <w:top w:w="30" w:type="dxa"/>
              <w:left w:w="30" w:type="dxa"/>
              <w:bottom w:w="30" w:type="dxa"/>
              <w:right w:w="30" w:type="dxa"/>
            </w:tcMar>
            <w:vAlign w:val="center"/>
          </w:tcPr>
          <w:p w:rsidR="0023051F" w:rsidRPr="0023051F" w:rsidRDefault="0023051F" w:rsidP="00D13265">
            <w:pPr>
              <w:pStyle w:val="IEEEParagraph"/>
              <w:jc w:val="center"/>
              <w:rPr>
                <w:rFonts w:asciiTheme="majorBidi" w:hAnsiTheme="majorBidi" w:cstheme="majorBidi"/>
              </w:rPr>
            </w:pPr>
            <w:r w:rsidRPr="0023051F">
              <w:rPr>
                <w:rFonts w:asciiTheme="majorBidi" w:hAnsiTheme="majorBidi" w:cstheme="majorBidi"/>
              </w:rPr>
              <w:t>66.5200</w:t>
            </w:r>
          </w:p>
        </w:tc>
        <w:tc>
          <w:tcPr>
            <w:tcW w:w="1320" w:type="dxa"/>
            <w:shd w:val="clear" w:color="auto" w:fill="FFFFFF"/>
            <w:tcMar>
              <w:top w:w="30" w:type="dxa"/>
              <w:left w:w="30" w:type="dxa"/>
              <w:bottom w:w="30" w:type="dxa"/>
              <w:right w:w="30" w:type="dxa"/>
            </w:tcMar>
            <w:vAlign w:val="center"/>
          </w:tcPr>
          <w:p w:rsidR="0023051F" w:rsidRPr="0023051F" w:rsidRDefault="0023051F" w:rsidP="00D13265">
            <w:pPr>
              <w:pStyle w:val="IEEEParagraph"/>
              <w:jc w:val="center"/>
              <w:rPr>
                <w:rFonts w:asciiTheme="majorBidi" w:hAnsiTheme="majorBidi" w:cstheme="majorBidi"/>
              </w:rPr>
            </w:pPr>
            <w:r w:rsidRPr="0023051F">
              <w:rPr>
                <w:rFonts w:asciiTheme="majorBidi" w:hAnsiTheme="majorBidi" w:cstheme="majorBidi"/>
              </w:rPr>
              <w:t>43.7700</w:t>
            </w:r>
          </w:p>
        </w:tc>
        <w:tc>
          <w:tcPr>
            <w:tcW w:w="1748" w:type="dxa"/>
            <w:shd w:val="clear" w:color="auto" w:fill="FFFFFF"/>
            <w:tcMar>
              <w:top w:w="30" w:type="dxa"/>
              <w:left w:w="30" w:type="dxa"/>
              <w:bottom w:w="30" w:type="dxa"/>
              <w:right w:w="30" w:type="dxa"/>
            </w:tcMar>
            <w:vAlign w:val="center"/>
          </w:tcPr>
          <w:p w:rsidR="0023051F" w:rsidRPr="0023051F" w:rsidRDefault="0023051F" w:rsidP="00D13265">
            <w:pPr>
              <w:pStyle w:val="IEEEParagraph"/>
              <w:jc w:val="center"/>
              <w:rPr>
                <w:rFonts w:asciiTheme="majorBidi" w:hAnsiTheme="majorBidi" w:cstheme="majorBidi"/>
              </w:rPr>
            </w:pPr>
            <w:r w:rsidRPr="0023051F">
              <w:rPr>
                <w:rFonts w:asciiTheme="majorBidi" w:hAnsiTheme="majorBidi" w:cstheme="majorBidi"/>
              </w:rPr>
              <w:t>8.8700</w:t>
            </w:r>
          </w:p>
        </w:tc>
      </w:tr>
      <w:tr w:rsidR="0023051F" w:rsidRPr="0023051F" w:rsidTr="00A90924">
        <w:trPr>
          <w:cantSplit/>
          <w:trHeight w:val="194"/>
          <w:tblHeader/>
          <w:jc w:val="center"/>
        </w:trPr>
        <w:tc>
          <w:tcPr>
            <w:tcW w:w="3091" w:type="dxa"/>
            <w:gridSpan w:val="2"/>
            <w:shd w:val="clear" w:color="auto" w:fill="FFFFFF"/>
            <w:tcMar>
              <w:top w:w="30" w:type="dxa"/>
              <w:left w:w="30" w:type="dxa"/>
              <w:bottom w:w="30" w:type="dxa"/>
              <w:right w:w="30" w:type="dxa"/>
            </w:tcMar>
          </w:tcPr>
          <w:p w:rsidR="0023051F" w:rsidRPr="0023051F" w:rsidRDefault="0023051F" w:rsidP="00D13265">
            <w:pPr>
              <w:pStyle w:val="IEEEParagraph"/>
              <w:rPr>
                <w:rFonts w:asciiTheme="majorBidi" w:hAnsiTheme="majorBidi" w:cstheme="majorBidi"/>
              </w:rPr>
            </w:pPr>
            <w:r w:rsidRPr="0023051F">
              <w:rPr>
                <w:rFonts w:asciiTheme="majorBidi" w:hAnsiTheme="majorBidi" w:cstheme="majorBidi"/>
              </w:rPr>
              <w:t>Mode</w:t>
            </w:r>
          </w:p>
        </w:tc>
        <w:tc>
          <w:tcPr>
            <w:tcW w:w="1319" w:type="dxa"/>
            <w:shd w:val="clear" w:color="auto" w:fill="FFFFFF"/>
            <w:tcMar>
              <w:top w:w="30" w:type="dxa"/>
              <w:left w:w="30" w:type="dxa"/>
              <w:bottom w:w="30" w:type="dxa"/>
              <w:right w:w="30" w:type="dxa"/>
            </w:tcMar>
            <w:vAlign w:val="center"/>
          </w:tcPr>
          <w:p w:rsidR="0023051F" w:rsidRPr="0023051F" w:rsidRDefault="0023051F" w:rsidP="00D13265">
            <w:pPr>
              <w:pStyle w:val="IEEEParagraph"/>
              <w:jc w:val="center"/>
              <w:rPr>
                <w:rFonts w:asciiTheme="majorBidi" w:hAnsiTheme="majorBidi" w:cstheme="majorBidi"/>
              </w:rPr>
            </w:pPr>
            <w:r w:rsidRPr="0023051F">
              <w:rPr>
                <w:rFonts w:asciiTheme="majorBidi" w:hAnsiTheme="majorBidi" w:cstheme="majorBidi"/>
              </w:rPr>
              <w:t>92.70</w:t>
            </w:r>
          </w:p>
        </w:tc>
        <w:tc>
          <w:tcPr>
            <w:tcW w:w="1387" w:type="dxa"/>
            <w:shd w:val="clear" w:color="auto" w:fill="FFFFFF"/>
            <w:tcMar>
              <w:top w:w="30" w:type="dxa"/>
              <w:left w:w="30" w:type="dxa"/>
              <w:bottom w:w="30" w:type="dxa"/>
              <w:right w:w="30" w:type="dxa"/>
            </w:tcMar>
            <w:vAlign w:val="center"/>
          </w:tcPr>
          <w:p w:rsidR="0023051F" w:rsidRPr="0023051F" w:rsidRDefault="0023051F" w:rsidP="00D13265">
            <w:pPr>
              <w:pStyle w:val="IEEEParagraph"/>
              <w:jc w:val="center"/>
              <w:rPr>
                <w:rFonts w:asciiTheme="majorBidi" w:hAnsiTheme="majorBidi" w:cstheme="majorBidi"/>
              </w:rPr>
            </w:pPr>
            <w:r w:rsidRPr="0023051F">
              <w:rPr>
                <w:rFonts w:asciiTheme="majorBidi" w:hAnsiTheme="majorBidi" w:cstheme="majorBidi"/>
              </w:rPr>
              <w:t>50.03</w:t>
            </w:r>
            <w:r w:rsidRPr="0023051F">
              <w:rPr>
                <w:rFonts w:asciiTheme="majorBidi" w:hAnsiTheme="majorBidi" w:cstheme="majorBidi"/>
                <w:vertAlign w:val="superscript"/>
              </w:rPr>
              <w:t>a</w:t>
            </w:r>
          </w:p>
        </w:tc>
        <w:tc>
          <w:tcPr>
            <w:tcW w:w="1320" w:type="dxa"/>
            <w:shd w:val="clear" w:color="auto" w:fill="FFFFFF"/>
            <w:tcMar>
              <w:top w:w="30" w:type="dxa"/>
              <w:left w:w="30" w:type="dxa"/>
              <w:bottom w:w="30" w:type="dxa"/>
              <w:right w:w="30" w:type="dxa"/>
            </w:tcMar>
            <w:vAlign w:val="center"/>
          </w:tcPr>
          <w:p w:rsidR="0023051F" w:rsidRPr="0023051F" w:rsidRDefault="0023051F" w:rsidP="00D13265">
            <w:pPr>
              <w:pStyle w:val="IEEEParagraph"/>
              <w:jc w:val="center"/>
              <w:rPr>
                <w:rFonts w:asciiTheme="majorBidi" w:hAnsiTheme="majorBidi" w:cstheme="majorBidi"/>
              </w:rPr>
            </w:pPr>
            <w:r w:rsidRPr="0023051F">
              <w:rPr>
                <w:rFonts w:asciiTheme="majorBidi" w:hAnsiTheme="majorBidi" w:cstheme="majorBidi"/>
              </w:rPr>
              <w:t>32.60</w:t>
            </w:r>
            <w:r w:rsidRPr="0023051F">
              <w:rPr>
                <w:rFonts w:asciiTheme="majorBidi" w:hAnsiTheme="majorBidi" w:cstheme="majorBidi"/>
                <w:vertAlign w:val="superscript"/>
              </w:rPr>
              <w:t>a</w:t>
            </w:r>
          </w:p>
        </w:tc>
        <w:tc>
          <w:tcPr>
            <w:tcW w:w="1748" w:type="dxa"/>
            <w:shd w:val="clear" w:color="auto" w:fill="FFFFFF"/>
            <w:tcMar>
              <w:top w:w="30" w:type="dxa"/>
              <w:left w:w="30" w:type="dxa"/>
              <w:bottom w:w="30" w:type="dxa"/>
              <w:right w:w="30" w:type="dxa"/>
            </w:tcMar>
            <w:vAlign w:val="center"/>
          </w:tcPr>
          <w:p w:rsidR="0023051F" w:rsidRPr="0023051F" w:rsidRDefault="0023051F" w:rsidP="00D13265">
            <w:pPr>
              <w:pStyle w:val="IEEEParagraph"/>
              <w:jc w:val="center"/>
              <w:rPr>
                <w:rFonts w:asciiTheme="majorBidi" w:hAnsiTheme="majorBidi" w:cstheme="majorBidi"/>
              </w:rPr>
            </w:pPr>
            <w:r w:rsidRPr="0023051F">
              <w:rPr>
                <w:rFonts w:asciiTheme="majorBidi" w:hAnsiTheme="majorBidi" w:cstheme="majorBidi"/>
              </w:rPr>
              <w:t>7.68</w:t>
            </w:r>
          </w:p>
        </w:tc>
      </w:tr>
      <w:tr w:rsidR="0023051F" w:rsidRPr="0023051F" w:rsidTr="00A90924">
        <w:trPr>
          <w:cantSplit/>
          <w:trHeight w:val="184"/>
          <w:tblHeader/>
          <w:jc w:val="center"/>
        </w:trPr>
        <w:tc>
          <w:tcPr>
            <w:tcW w:w="3091" w:type="dxa"/>
            <w:gridSpan w:val="2"/>
            <w:shd w:val="clear" w:color="auto" w:fill="FFFFFF"/>
            <w:tcMar>
              <w:top w:w="30" w:type="dxa"/>
              <w:left w:w="30" w:type="dxa"/>
              <w:bottom w:w="30" w:type="dxa"/>
              <w:right w:w="30" w:type="dxa"/>
            </w:tcMar>
          </w:tcPr>
          <w:p w:rsidR="0023051F" w:rsidRPr="0023051F" w:rsidRDefault="0023051F" w:rsidP="00D13265">
            <w:pPr>
              <w:pStyle w:val="IEEEParagraph"/>
              <w:rPr>
                <w:rFonts w:asciiTheme="majorBidi" w:hAnsiTheme="majorBidi" w:cstheme="majorBidi"/>
              </w:rPr>
            </w:pPr>
            <w:r w:rsidRPr="0023051F">
              <w:rPr>
                <w:rFonts w:asciiTheme="majorBidi" w:hAnsiTheme="majorBidi" w:cstheme="majorBidi"/>
              </w:rPr>
              <w:t>Std. Deviation</w:t>
            </w:r>
          </w:p>
        </w:tc>
        <w:tc>
          <w:tcPr>
            <w:tcW w:w="1319" w:type="dxa"/>
            <w:shd w:val="clear" w:color="auto" w:fill="FFFFFF"/>
            <w:tcMar>
              <w:top w:w="30" w:type="dxa"/>
              <w:left w:w="30" w:type="dxa"/>
              <w:bottom w:w="30" w:type="dxa"/>
              <w:right w:w="30" w:type="dxa"/>
            </w:tcMar>
            <w:vAlign w:val="center"/>
          </w:tcPr>
          <w:p w:rsidR="0023051F" w:rsidRPr="0023051F" w:rsidRDefault="0023051F" w:rsidP="00D13265">
            <w:pPr>
              <w:pStyle w:val="IEEEParagraph"/>
              <w:jc w:val="center"/>
              <w:rPr>
                <w:rFonts w:asciiTheme="majorBidi" w:hAnsiTheme="majorBidi" w:cstheme="majorBidi"/>
              </w:rPr>
            </w:pPr>
            <w:r w:rsidRPr="0023051F">
              <w:rPr>
                <w:rFonts w:asciiTheme="majorBidi" w:hAnsiTheme="majorBidi" w:cstheme="majorBidi"/>
              </w:rPr>
              <w:t>1.89364</w:t>
            </w:r>
          </w:p>
        </w:tc>
        <w:tc>
          <w:tcPr>
            <w:tcW w:w="1387" w:type="dxa"/>
            <w:shd w:val="clear" w:color="auto" w:fill="FFFFFF"/>
            <w:tcMar>
              <w:top w:w="30" w:type="dxa"/>
              <w:left w:w="30" w:type="dxa"/>
              <w:bottom w:w="30" w:type="dxa"/>
              <w:right w:w="30" w:type="dxa"/>
            </w:tcMar>
            <w:vAlign w:val="center"/>
          </w:tcPr>
          <w:p w:rsidR="0023051F" w:rsidRPr="0023051F" w:rsidRDefault="0023051F" w:rsidP="00D13265">
            <w:pPr>
              <w:pStyle w:val="IEEEParagraph"/>
              <w:jc w:val="center"/>
              <w:rPr>
                <w:rFonts w:asciiTheme="majorBidi" w:hAnsiTheme="majorBidi" w:cstheme="majorBidi"/>
              </w:rPr>
            </w:pPr>
            <w:r w:rsidRPr="0023051F">
              <w:rPr>
                <w:rFonts w:asciiTheme="majorBidi" w:hAnsiTheme="majorBidi" w:cstheme="majorBidi"/>
              </w:rPr>
              <w:t>8.43224</w:t>
            </w:r>
          </w:p>
        </w:tc>
        <w:tc>
          <w:tcPr>
            <w:tcW w:w="1320" w:type="dxa"/>
            <w:shd w:val="clear" w:color="auto" w:fill="FFFFFF"/>
            <w:tcMar>
              <w:top w:w="30" w:type="dxa"/>
              <w:left w:w="30" w:type="dxa"/>
              <w:bottom w:w="30" w:type="dxa"/>
              <w:right w:w="30" w:type="dxa"/>
            </w:tcMar>
            <w:vAlign w:val="center"/>
          </w:tcPr>
          <w:p w:rsidR="0023051F" w:rsidRPr="0023051F" w:rsidRDefault="0023051F" w:rsidP="00D13265">
            <w:pPr>
              <w:pStyle w:val="IEEEParagraph"/>
              <w:jc w:val="center"/>
              <w:rPr>
                <w:rFonts w:asciiTheme="majorBidi" w:hAnsiTheme="majorBidi" w:cstheme="majorBidi"/>
              </w:rPr>
            </w:pPr>
            <w:r w:rsidRPr="0023051F">
              <w:rPr>
                <w:rFonts w:asciiTheme="majorBidi" w:hAnsiTheme="majorBidi" w:cstheme="majorBidi"/>
              </w:rPr>
              <w:t>9.08175</w:t>
            </w:r>
          </w:p>
        </w:tc>
        <w:tc>
          <w:tcPr>
            <w:tcW w:w="1748" w:type="dxa"/>
            <w:shd w:val="clear" w:color="auto" w:fill="FFFFFF"/>
            <w:tcMar>
              <w:top w:w="30" w:type="dxa"/>
              <w:left w:w="30" w:type="dxa"/>
              <w:bottom w:w="30" w:type="dxa"/>
              <w:right w:w="30" w:type="dxa"/>
            </w:tcMar>
            <w:vAlign w:val="center"/>
          </w:tcPr>
          <w:p w:rsidR="0023051F" w:rsidRPr="0023051F" w:rsidRDefault="0023051F" w:rsidP="00D13265">
            <w:pPr>
              <w:pStyle w:val="IEEEParagraph"/>
              <w:jc w:val="center"/>
              <w:rPr>
                <w:rFonts w:asciiTheme="majorBidi" w:hAnsiTheme="majorBidi" w:cstheme="majorBidi"/>
              </w:rPr>
            </w:pPr>
            <w:r w:rsidRPr="0023051F">
              <w:rPr>
                <w:rFonts w:asciiTheme="majorBidi" w:hAnsiTheme="majorBidi" w:cstheme="majorBidi"/>
              </w:rPr>
              <w:t>4.37069</w:t>
            </w:r>
          </w:p>
        </w:tc>
      </w:tr>
      <w:tr w:rsidR="0023051F" w:rsidRPr="0023051F" w:rsidTr="00A90924">
        <w:trPr>
          <w:cantSplit/>
          <w:trHeight w:val="194"/>
          <w:tblHeader/>
          <w:jc w:val="center"/>
        </w:trPr>
        <w:tc>
          <w:tcPr>
            <w:tcW w:w="3091" w:type="dxa"/>
            <w:gridSpan w:val="2"/>
            <w:shd w:val="clear" w:color="auto" w:fill="FFFFFF"/>
            <w:tcMar>
              <w:top w:w="30" w:type="dxa"/>
              <w:left w:w="30" w:type="dxa"/>
              <w:bottom w:w="30" w:type="dxa"/>
              <w:right w:w="30" w:type="dxa"/>
            </w:tcMar>
          </w:tcPr>
          <w:p w:rsidR="0023051F" w:rsidRPr="0023051F" w:rsidRDefault="0023051F" w:rsidP="00D13265">
            <w:pPr>
              <w:pStyle w:val="IEEEParagraph"/>
              <w:rPr>
                <w:rFonts w:asciiTheme="majorBidi" w:hAnsiTheme="majorBidi" w:cstheme="majorBidi"/>
              </w:rPr>
            </w:pPr>
            <w:r w:rsidRPr="0023051F">
              <w:rPr>
                <w:rFonts w:asciiTheme="majorBidi" w:hAnsiTheme="majorBidi" w:cstheme="majorBidi"/>
              </w:rPr>
              <w:t>Variance</w:t>
            </w:r>
          </w:p>
        </w:tc>
        <w:tc>
          <w:tcPr>
            <w:tcW w:w="1319" w:type="dxa"/>
            <w:shd w:val="clear" w:color="auto" w:fill="FFFFFF"/>
            <w:tcMar>
              <w:top w:w="30" w:type="dxa"/>
              <w:left w:w="30" w:type="dxa"/>
              <w:bottom w:w="30" w:type="dxa"/>
              <w:right w:w="30" w:type="dxa"/>
            </w:tcMar>
            <w:vAlign w:val="center"/>
          </w:tcPr>
          <w:p w:rsidR="0023051F" w:rsidRPr="0023051F" w:rsidRDefault="0023051F" w:rsidP="00D13265">
            <w:pPr>
              <w:pStyle w:val="IEEEParagraph"/>
              <w:jc w:val="center"/>
              <w:rPr>
                <w:rFonts w:asciiTheme="majorBidi" w:hAnsiTheme="majorBidi" w:cstheme="majorBidi"/>
              </w:rPr>
            </w:pPr>
            <w:r w:rsidRPr="0023051F">
              <w:rPr>
                <w:rFonts w:asciiTheme="majorBidi" w:hAnsiTheme="majorBidi" w:cstheme="majorBidi"/>
              </w:rPr>
              <w:t>3.586</w:t>
            </w:r>
          </w:p>
        </w:tc>
        <w:tc>
          <w:tcPr>
            <w:tcW w:w="1387" w:type="dxa"/>
            <w:shd w:val="clear" w:color="auto" w:fill="FFFFFF"/>
            <w:tcMar>
              <w:top w:w="30" w:type="dxa"/>
              <w:left w:w="30" w:type="dxa"/>
              <w:bottom w:w="30" w:type="dxa"/>
              <w:right w:w="30" w:type="dxa"/>
            </w:tcMar>
            <w:vAlign w:val="center"/>
          </w:tcPr>
          <w:p w:rsidR="0023051F" w:rsidRPr="0023051F" w:rsidRDefault="0023051F" w:rsidP="00D13265">
            <w:pPr>
              <w:pStyle w:val="IEEEParagraph"/>
              <w:jc w:val="center"/>
              <w:rPr>
                <w:rFonts w:asciiTheme="majorBidi" w:hAnsiTheme="majorBidi" w:cstheme="majorBidi"/>
              </w:rPr>
            </w:pPr>
            <w:r w:rsidRPr="0023051F">
              <w:rPr>
                <w:rFonts w:asciiTheme="majorBidi" w:hAnsiTheme="majorBidi" w:cstheme="majorBidi"/>
              </w:rPr>
              <w:t>71.103</w:t>
            </w:r>
          </w:p>
        </w:tc>
        <w:tc>
          <w:tcPr>
            <w:tcW w:w="1320" w:type="dxa"/>
            <w:shd w:val="clear" w:color="auto" w:fill="FFFFFF"/>
            <w:tcMar>
              <w:top w:w="30" w:type="dxa"/>
              <w:left w:w="30" w:type="dxa"/>
              <w:bottom w:w="30" w:type="dxa"/>
              <w:right w:w="30" w:type="dxa"/>
            </w:tcMar>
            <w:vAlign w:val="center"/>
          </w:tcPr>
          <w:p w:rsidR="0023051F" w:rsidRPr="0023051F" w:rsidRDefault="0023051F" w:rsidP="00D13265">
            <w:pPr>
              <w:pStyle w:val="IEEEParagraph"/>
              <w:jc w:val="center"/>
              <w:rPr>
                <w:rFonts w:asciiTheme="majorBidi" w:hAnsiTheme="majorBidi" w:cstheme="majorBidi"/>
              </w:rPr>
            </w:pPr>
            <w:r w:rsidRPr="0023051F">
              <w:rPr>
                <w:rFonts w:asciiTheme="majorBidi" w:hAnsiTheme="majorBidi" w:cstheme="majorBidi"/>
              </w:rPr>
              <w:t>82.478</w:t>
            </w:r>
          </w:p>
        </w:tc>
        <w:tc>
          <w:tcPr>
            <w:tcW w:w="1748" w:type="dxa"/>
            <w:shd w:val="clear" w:color="auto" w:fill="FFFFFF"/>
            <w:tcMar>
              <w:top w:w="30" w:type="dxa"/>
              <w:left w:w="30" w:type="dxa"/>
              <w:bottom w:w="30" w:type="dxa"/>
              <w:right w:w="30" w:type="dxa"/>
            </w:tcMar>
            <w:vAlign w:val="center"/>
          </w:tcPr>
          <w:p w:rsidR="0023051F" w:rsidRPr="0023051F" w:rsidRDefault="0023051F" w:rsidP="00D13265">
            <w:pPr>
              <w:pStyle w:val="IEEEParagraph"/>
              <w:jc w:val="center"/>
              <w:rPr>
                <w:rFonts w:asciiTheme="majorBidi" w:hAnsiTheme="majorBidi" w:cstheme="majorBidi"/>
              </w:rPr>
            </w:pPr>
            <w:r w:rsidRPr="0023051F">
              <w:rPr>
                <w:rFonts w:asciiTheme="majorBidi" w:hAnsiTheme="majorBidi" w:cstheme="majorBidi"/>
              </w:rPr>
              <w:t>19.103</w:t>
            </w:r>
          </w:p>
        </w:tc>
      </w:tr>
      <w:tr w:rsidR="0023051F" w:rsidRPr="0023051F" w:rsidTr="00A90924">
        <w:trPr>
          <w:cantSplit/>
          <w:trHeight w:val="194"/>
          <w:tblHeader/>
          <w:jc w:val="center"/>
        </w:trPr>
        <w:tc>
          <w:tcPr>
            <w:tcW w:w="3091" w:type="dxa"/>
            <w:gridSpan w:val="2"/>
            <w:shd w:val="clear" w:color="auto" w:fill="FFFFFF"/>
            <w:tcMar>
              <w:top w:w="30" w:type="dxa"/>
              <w:left w:w="30" w:type="dxa"/>
              <w:bottom w:w="30" w:type="dxa"/>
              <w:right w:w="30" w:type="dxa"/>
            </w:tcMar>
          </w:tcPr>
          <w:p w:rsidR="0023051F" w:rsidRPr="0023051F" w:rsidRDefault="0023051F" w:rsidP="00D13265">
            <w:pPr>
              <w:pStyle w:val="IEEEParagraph"/>
              <w:rPr>
                <w:rFonts w:asciiTheme="majorBidi" w:hAnsiTheme="majorBidi" w:cstheme="majorBidi"/>
              </w:rPr>
            </w:pPr>
            <w:r w:rsidRPr="0023051F">
              <w:rPr>
                <w:rFonts w:asciiTheme="majorBidi" w:hAnsiTheme="majorBidi" w:cstheme="majorBidi"/>
              </w:rPr>
              <w:t>Range</w:t>
            </w:r>
          </w:p>
        </w:tc>
        <w:tc>
          <w:tcPr>
            <w:tcW w:w="1319" w:type="dxa"/>
            <w:shd w:val="clear" w:color="auto" w:fill="FFFFFF"/>
            <w:tcMar>
              <w:top w:w="30" w:type="dxa"/>
              <w:left w:w="30" w:type="dxa"/>
              <w:bottom w:w="30" w:type="dxa"/>
              <w:right w:w="30" w:type="dxa"/>
            </w:tcMar>
            <w:vAlign w:val="center"/>
          </w:tcPr>
          <w:p w:rsidR="0023051F" w:rsidRPr="0023051F" w:rsidRDefault="0023051F" w:rsidP="00D13265">
            <w:pPr>
              <w:pStyle w:val="IEEEParagraph"/>
              <w:jc w:val="center"/>
              <w:rPr>
                <w:rFonts w:asciiTheme="majorBidi" w:hAnsiTheme="majorBidi" w:cstheme="majorBidi"/>
              </w:rPr>
            </w:pPr>
            <w:r w:rsidRPr="0023051F">
              <w:rPr>
                <w:rFonts w:asciiTheme="majorBidi" w:hAnsiTheme="majorBidi" w:cstheme="majorBidi"/>
              </w:rPr>
              <w:t>6.49</w:t>
            </w:r>
          </w:p>
        </w:tc>
        <w:tc>
          <w:tcPr>
            <w:tcW w:w="1387" w:type="dxa"/>
            <w:shd w:val="clear" w:color="auto" w:fill="FFFFFF"/>
            <w:tcMar>
              <w:top w:w="30" w:type="dxa"/>
              <w:left w:w="30" w:type="dxa"/>
              <w:bottom w:w="30" w:type="dxa"/>
              <w:right w:w="30" w:type="dxa"/>
            </w:tcMar>
            <w:vAlign w:val="center"/>
          </w:tcPr>
          <w:p w:rsidR="0023051F" w:rsidRPr="0023051F" w:rsidRDefault="0023051F" w:rsidP="00D13265">
            <w:pPr>
              <w:pStyle w:val="IEEEParagraph"/>
              <w:jc w:val="center"/>
              <w:rPr>
                <w:rFonts w:asciiTheme="majorBidi" w:hAnsiTheme="majorBidi" w:cstheme="majorBidi"/>
              </w:rPr>
            </w:pPr>
            <w:r w:rsidRPr="0023051F">
              <w:rPr>
                <w:rFonts w:asciiTheme="majorBidi" w:hAnsiTheme="majorBidi" w:cstheme="majorBidi"/>
              </w:rPr>
              <w:t>28.72</w:t>
            </w:r>
          </w:p>
        </w:tc>
        <w:tc>
          <w:tcPr>
            <w:tcW w:w="1320" w:type="dxa"/>
            <w:shd w:val="clear" w:color="auto" w:fill="FFFFFF"/>
            <w:tcMar>
              <w:top w:w="30" w:type="dxa"/>
              <w:left w:w="30" w:type="dxa"/>
              <w:bottom w:w="30" w:type="dxa"/>
              <w:right w:w="30" w:type="dxa"/>
            </w:tcMar>
            <w:vAlign w:val="center"/>
          </w:tcPr>
          <w:p w:rsidR="0023051F" w:rsidRPr="0023051F" w:rsidRDefault="0023051F" w:rsidP="00D13265">
            <w:pPr>
              <w:pStyle w:val="IEEEParagraph"/>
              <w:jc w:val="center"/>
              <w:rPr>
                <w:rFonts w:asciiTheme="majorBidi" w:hAnsiTheme="majorBidi" w:cstheme="majorBidi"/>
              </w:rPr>
            </w:pPr>
            <w:r w:rsidRPr="0023051F">
              <w:rPr>
                <w:rFonts w:asciiTheme="majorBidi" w:hAnsiTheme="majorBidi" w:cstheme="majorBidi"/>
              </w:rPr>
              <w:t>27.93</w:t>
            </w:r>
          </w:p>
        </w:tc>
        <w:tc>
          <w:tcPr>
            <w:tcW w:w="1748" w:type="dxa"/>
            <w:shd w:val="clear" w:color="auto" w:fill="FFFFFF"/>
            <w:tcMar>
              <w:top w:w="30" w:type="dxa"/>
              <w:left w:w="30" w:type="dxa"/>
              <w:bottom w:w="30" w:type="dxa"/>
              <w:right w:w="30" w:type="dxa"/>
            </w:tcMar>
            <w:vAlign w:val="center"/>
          </w:tcPr>
          <w:p w:rsidR="0023051F" w:rsidRPr="0023051F" w:rsidRDefault="0023051F" w:rsidP="00D13265">
            <w:pPr>
              <w:pStyle w:val="IEEEParagraph"/>
              <w:jc w:val="center"/>
              <w:rPr>
                <w:rFonts w:asciiTheme="majorBidi" w:hAnsiTheme="majorBidi" w:cstheme="majorBidi"/>
              </w:rPr>
            </w:pPr>
            <w:r w:rsidRPr="0023051F">
              <w:rPr>
                <w:rFonts w:asciiTheme="majorBidi" w:hAnsiTheme="majorBidi" w:cstheme="majorBidi"/>
              </w:rPr>
              <w:t>13.03</w:t>
            </w:r>
          </w:p>
        </w:tc>
      </w:tr>
      <w:tr w:rsidR="0023051F" w:rsidRPr="0023051F" w:rsidTr="00A90924">
        <w:trPr>
          <w:cantSplit/>
          <w:trHeight w:val="184"/>
          <w:tblHeader/>
          <w:jc w:val="center"/>
        </w:trPr>
        <w:tc>
          <w:tcPr>
            <w:tcW w:w="3091" w:type="dxa"/>
            <w:gridSpan w:val="2"/>
            <w:shd w:val="clear" w:color="auto" w:fill="FFFFFF"/>
            <w:tcMar>
              <w:top w:w="30" w:type="dxa"/>
              <w:left w:w="30" w:type="dxa"/>
              <w:bottom w:w="30" w:type="dxa"/>
              <w:right w:w="30" w:type="dxa"/>
            </w:tcMar>
          </w:tcPr>
          <w:p w:rsidR="0023051F" w:rsidRPr="0023051F" w:rsidRDefault="0023051F" w:rsidP="00D13265">
            <w:pPr>
              <w:pStyle w:val="IEEEParagraph"/>
              <w:rPr>
                <w:rFonts w:asciiTheme="majorBidi" w:hAnsiTheme="majorBidi" w:cstheme="majorBidi"/>
              </w:rPr>
            </w:pPr>
            <w:r w:rsidRPr="0023051F">
              <w:rPr>
                <w:rFonts w:asciiTheme="majorBidi" w:hAnsiTheme="majorBidi" w:cstheme="majorBidi"/>
              </w:rPr>
              <w:t>Minimum</w:t>
            </w:r>
          </w:p>
        </w:tc>
        <w:tc>
          <w:tcPr>
            <w:tcW w:w="1319" w:type="dxa"/>
            <w:shd w:val="clear" w:color="auto" w:fill="FFFFFF"/>
            <w:tcMar>
              <w:top w:w="30" w:type="dxa"/>
              <w:left w:w="30" w:type="dxa"/>
              <w:bottom w:w="30" w:type="dxa"/>
              <w:right w:w="30" w:type="dxa"/>
            </w:tcMar>
            <w:vAlign w:val="center"/>
          </w:tcPr>
          <w:p w:rsidR="0023051F" w:rsidRPr="0023051F" w:rsidRDefault="0023051F" w:rsidP="00D13265">
            <w:pPr>
              <w:pStyle w:val="IEEEParagraph"/>
              <w:jc w:val="center"/>
              <w:rPr>
                <w:rFonts w:asciiTheme="majorBidi" w:hAnsiTheme="majorBidi" w:cstheme="majorBidi"/>
              </w:rPr>
            </w:pPr>
            <w:r w:rsidRPr="0023051F">
              <w:rPr>
                <w:rFonts w:asciiTheme="majorBidi" w:hAnsiTheme="majorBidi" w:cstheme="majorBidi"/>
              </w:rPr>
              <w:t>90.98</w:t>
            </w:r>
          </w:p>
        </w:tc>
        <w:tc>
          <w:tcPr>
            <w:tcW w:w="1387" w:type="dxa"/>
            <w:shd w:val="clear" w:color="auto" w:fill="FFFFFF"/>
            <w:tcMar>
              <w:top w:w="30" w:type="dxa"/>
              <w:left w:w="30" w:type="dxa"/>
              <w:bottom w:w="30" w:type="dxa"/>
              <w:right w:w="30" w:type="dxa"/>
            </w:tcMar>
            <w:vAlign w:val="center"/>
          </w:tcPr>
          <w:p w:rsidR="0023051F" w:rsidRPr="0023051F" w:rsidRDefault="0023051F" w:rsidP="00D13265">
            <w:pPr>
              <w:pStyle w:val="IEEEParagraph"/>
              <w:jc w:val="center"/>
              <w:rPr>
                <w:rFonts w:asciiTheme="majorBidi" w:hAnsiTheme="majorBidi" w:cstheme="majorBidi"/>
              </w:rPr>
            </w:pPr>
            <w:r w:rsidRPr="0023051F">
              <w:rPr>
                <w:rFonts w:asciiTheme="majorBidi" w:hAnsiTheme="majorBidi" w:cstheme="majorBidi"/>
              </w:rPr>
              <w:t>50.03</w:t>
            </w:r>
          </w:p>
        </w:tc>
        <w:tc>
          <w:tcPr>
            <w:tcW w:w="1320" w:type="dxa"/>
            <w:shd w:val="clear" w:color="auto" w:fill="FFFFFF"/>
            <w:tcMar>
              <w:top w:w="30" w:type="dxa"/>
              <w:left w:w="30" w:type="dxa"/>
              <w:bottom w:w="30" w:type="dxa"/>
              <w:right w:w="30" w:type="dxa"/>
            </w:tcMar>
            <w:vAlign w:val="center"/>
          </w:tcPr>
          <w:p w:rsidR="0023051F" w:rsidRPr="0023051F" w:rsidRDefault="0023051F" w:rsidP="00D13265">
            <w:pPr>
              <w:pStyle w:val="IEEEParagraph"/>
              <w:jc w:val="center"/>
              <w:rPr>
                <w:rFonts w:asciiTheme="majorBidi" w:hAnsiTheme="majorBidi" w:cstheme="majorBidi"/>
              </w:rPr>
            </w:pPr>
            <w:r w:rsidRPr="0023051F">
              <w:rPr>
                <w:rFonts w:asciiTheme="majorBidi" w:hAnsiTheme="majorBidi" w:cstheme="majorBidi"/>
              </w:rPr>
              <w:t>32.60</w:t>
            </w:r>
          </w:p>
        </w:tc>
        <w:tc>
          <w:tcPr>
            <w:tcW w:w="1748" w:type="dxa"/>
            <w:shd w:val="clear" w:color="auto" w:fill="FFFFFF"/>
            <w:tcMar>
              <w:top w:w="30" w:type="dxa"/>
              <w:left w:w="30" w:type="dxa"/>
              <w:bottom w:w="30" w:type="dxa"/>
              <w:right w:w="30" w:type="dxa"/>
            </w:tcMar>
            <w:vAlign w:val="center"/>
          </w:tcPr>
          <w:p w:rsidR="0023051F" w:rsidRPr="0023051F" w:rsidRDefault="0023051F" w:rsidP="00D13265">
            <w:pPr>
              <w:pStyle w:val="IEEEParagraph"/>
              <w:jc w:val="center"/>
              <w:rPr>
                <w:rFonts w:asciiTheme="majorBidi" w:hAnsiTheme="majorBidi" w:cstheme="majorBidi"/>
              </w:rPr>
            </w:pPr>
            <w:r w:rsidRPr="0023051F">
              <w:rPr>
                <w:rFonts w:asciiTheme="majorBidi" w:hAnsiTheme="majorBidi" w:cstheme="majorBidi"/>
              </w:rPr>
              <w:t>7.15</w:t>
            </w:r>
          </w:p>
        </w:tc>
      </w:tr>
      <w:tr w:rsidR="0023051F" w:rsidRPr="0023051F" w:rsidTr="00A90924">
        <w:trPr>
          <w:cantSplit/>
          <w:trHeight w:val="194"/>
          <w:tblHeader/>
          <w:jc w:val="center"/>
        </w:trPr>
        <w:tc>
          <w:tcPr>
            <w:tcW w:w="3091" w:type="dxa"/>
            <w:gridSpan w:val="2"/>
            <w:shd w:val="clear" w:color="auto" w:fill="FFFFFF"/>
            <w:tcMar>
              <w:top w:w="30" w:type="dxa"/>
              <w:left w:w="30" w:type="dxa"/>
              <w:bottom w:w="30" w:type="dxa"/>
              <w:right w:w="30" w:type="dxa"/>
            </w:tcMar>
          </w:tcPr>
          <w:p w:rsidR="0023051F" w:rsidRPr="0023051F" w:rsidRDefault="0023051F" w:rsidP="00D13265">
            <w:pPr>
              <w:pStyle w:val="IEEEParagraph"/>
              <w:rPr>
                <w:rFonts w:asciiTheme="majorBidi" w:hAnsiTheme="majorBidi" w:cstheme="majorBidi"/>
              </w:rPr>
            </w:pPr>
            <w:r w:rsidRPr="0023051F">
              <w:rPr>
                <w:rFonts w:asciiTheme="majorBidi" w:hAnsiTheme="majorBidi" w:cstheme="majorBidi"/>
              </w:rPr>
              <w:t>Maximum</w:t>
            </w:r>
          </w:p>
        </w:tc>
        <w:tc>
          <w:tcPr>
            <w:tcW w:w="1319" w:type="dxa"/>
            <w:shd w:val="clear" w:color="auto" w:fill="FFFFFF"/>
            <w:tcMar>
              <w:top w:w="30" w:type="dxa"/>
              <w:left w:w="30" w:type="dxa"/>
              <w:bottom w:w="30" w:type="dxa"/>
              <w:right w:w="30" w:type="dxa"/>
            </w:tcMar>
            <w:vAlign w:val="center"/>
          </w:tcPr>
          <w:p w:rsidR="0023051F" w:rsidRPr="0023051F" w:rsidRDefault="0023051F" w:rsidP="00D13265">
            <w:pPr>
              <w:pStyle w:val="IEEEParagraph"/>
              <w:jc w:val="center"/>
              <w:rPr>
                <w:rFonts w:asciiTheme="majorBidi" w:hAnsiTheme="majorBidi" w:cstheme="majorBidi"/>
              </w:rPr>
            </w:pPr>
            <w:r w:rsidRPr="0023051F">
              <w:rPr>
                <w:rFonts w:asciiTheme="majorBidi" w:hAnsiTheme="majorBidi" w:cstheme="majorBidi"/>
              </w:rPr>
              <w:t>97.48</w:t>
            </w:r>
          </w:p>
        </w:tc>
        <w:tc>
          <w:tcPr>
            <w:tcW w:w="1387" w:type="dxa"/>
            <w:shd w:val="clear" w:color="auto" w:fill="FFFFFF"/>
            <w:tcMar>
              <w:top w:w="30" w:type="dxa"/>
              <w:left w:w="30" w:type="dxa"/>
              <w:bottom w:w="30" w:type="dxa"/>
              <w:right w:w="30" w:type="dxa"/>
            </w:tcMar>
            <w:vAlign w:val="center"/>
          </w:tcPr>
          <w:p w:rsidR="0023051F" w:rsidRPr="0023051F" w:rsidRDefault="0023051F" w:rsidP="00D13265">
            <w:pPr>
              <w:pStyle w:val="IEEEParagraph"/>
              <w:jc w:val="center"/>
              <w:rPr>
                <w:rFonts w:asciiTheme="majorBidi" w:hAnsiTheme="majorBidi" w:cstheme="majorBidi"/>
              </w:rPr>
            </w:pPr>
            <w:r w:rsidRPr="0023051F">
              <w:rPr>
                <w:rFonts w:asciiTheme="majorBidi" w:hAnsiTheme="majorBidi" w:cstheme="majorBidi"/>
              </w:rPr>
              <w:t>78.75</w:t>
            </w:r>
          </w:p>
        </w:tc>
        <w:tc>
          <w:tcPr>
            <w:tcW w:w="1320" w:type="dxa"/>
            <w:shd w:val="clear" w:color="auto" w:fill="FFFFFF"/>
            <w:tcMar>
              <w:top w:w="30" w:type="dxa"/>
              <w:left w:w="30" w:type="dxa"/>
              <w:bottom w:w="30" w:type="dxa"/>
              <w:right w:w="30" w:type="dxa"/>
            </w:tcMar>
            <w:vAlign w:val="center"/>
          </w:tcPr>
          <w:p w:rsidR="0023051F" w:rsidRPr="0023051F" w:rsidRDefault="0023051F" w:rsidP="00D13265">
            <w:pPr>
              <w:pStyle w:val="IEEEParagraph"/>
              <w:jc w:val="center"/>
              <w:rPr>
                <w:rFonts w:asciiTheme="majorBidi" w:hAnsiTheme="majorBidi" w:cstheme="majorBidi"/>
              </w:rPr>
            </w:pPr>
            <w:r w:rsidRPr="0023051F">
              <w:rPr>
                <w:rFonts w:asciiTheme="majorBidi" w:hAnsiTheme="majorBidi" w:cstheme="majorBidi"/>
              </w:rPr>
              <w:t>60.53</w:t>
            </w:r>
          </w:p>
        </w:tc>
        <w:tc>
          <w:tcPr>
            <w:tcW w:w="1748" w:type="dxa"/>
            <w:shd w:val="clear" w:color="auto" w:fill="FFFFFF"/>
            <w:tcMar>
              <w:top w:w="30" w:type="dxa"/>
              <w:left w:w="30" w:type="dxa"/>
              <w:bottom w:w="30" w:type="dxa"/>
              <w:right w:w="30" w:type="dxa"/>
            </w:tcMar>
            <w:vAlign w:val="center"/>
          </w:tcPr>
          <w:p w:rsidR="0023051F" w:rsidRPr="0023051F" w:rsidRDefault="0023051F" w:rsidP="00D13265">
            <w:pPr>
              <w:pStyle w:val="IEEEParagraph"/>
              <w:jc w:val="center"/>
              <w:rPr>
                <w:rFonts w:asciiTheme="majorBidi" w:hAnsiTheme="majorBidi" w:cstheme="majorBidi"/>
              </w:rPr>
            </w:pPr>
            <w:r w:rsidRPr="0023051F">
              <w:rPr>
                <w:rFonts w:asciiTheme="majorBidi" w:hAnsiTheme="majorBidi" w:cstheme="majorBidi"/>
              </w:rPr>
              <w:t>20.18</w:t>
            </w:r>
          </w:p>
        </w:tc>
      </w:tr>
      <w:tr w:rsidR="0023051F" w:rsidRPr="0023051F" w:rsidTr="00A90924">
        <w:trPr>
          <w:cantSplit/>
          <w:trHeight w:val="194"/>
          <w:tblHeader/>
          <w:jc w:val="center"/>
        </w:trPr>
        <w:tc>
          <w:tcPr>
            <w:tcW w:w="3091" w:type="dxa"/>
            <w:gridSpan w:val="2"/>
            <w:shd w:val="clear" w:color="auto" w:fill="FFFFFF"/>
            <w:tcMar>
              <w:top w:w="30" w:type="dxa"/>
              <w:left w:w="30" w:type="dxa"/>
              <w:bottom w:w="30" w:type="dxa"/>
              <w:right w:w="30" w:type="dxa"/>
            </w:tcMar>
          </w:tcPr>
          <w:p w:rsidR="0023051F" w:rsidRPr="0023051F" w:rsidRDefault="0023051F" w:rsidP="00D13265">
            <w:pPr>
              <w:pStyle w:val="IEEEParagraph"/>
              <w:rPr>
                <w:rFonts w:asciiTheme="majorBidi" w:hAnsiTheme="majorBidi" w:cstheme="majorBidi"/>
              </w:rPr>
            </w:pPr>
            <w:r w:rsidRPr="0023051F">
              <w:rPr>
                <w:rFonts w:asciiTheme="majorBidi" w:hAnsiTheme="majorBidi" w:cstheme="majorBidi"/>
              </w:rPr>
              <w:t>Sum</w:t>
            </w:r>
          </w:p>
        </w:tc>
        <w:tc>
          <w:tcPr>
            <w:tcW w:w="1319" w:type="dxa"/>
            <w:shd w:val="clear" w:color="auto" w:fill="FFFFFF"/>
            <w:tcMar>
              <w:top w:w="30" w:type="dxa"/>
              <w:left w:w="30" w:type="dxa"/>
              <w:bottom w:w="30" w:type="dxa"/>
              <w:right w:w="30" w:type="dxa"/>
            </w:tcMar>
            <w:vAlign w:val="center"/>
          </w:tcPr>
          <w:p w:rsidR="0023051F" w:rsidRPr="0023051F" w:rsidRDefault="0023051F" w:rsidP="00D13265">
            <w:pPr>
              <w:pStyle w:val="IEEEParagraph"/>
              <w:jc w:val="center"/>
              <w:rPr>
                <w:rFonts w:asciiTheme="majorBidi" w:hAnsiTheme="majorBidi" w:cstheme="majorBidi"/>
              </w:rPr>
            </w:pPr>
            <w:r w:rsidRPr="0023051F">
              <w:rPr>
                <w:rFonts w:asciiTheme="majorBidi" w:hAnsiTheme="majorBidi" w:cstheme="majorBidi"/>
              </w:rPr>
              <w:t>2342.10</w:t>
            </w:r>
          </w:p>
        </w:tc>
        <w:tc>
          <w:tcPr>
            <w:tcW w:w="1387" w:type="dxa"/>
            <w:shd w:val="clear" w:color="auto" w:fill="FFFFFF"/>
            <w:tcMar>
              <w:top w:w="30" w:type="dxa"/>
              <w:left w:w="30" w:type="dxa"/>
              <w:bottom w:w="30" w:type="dxa"/>
              <w:right w:w="30" w:type="dxa"/>
            </w:tcMar>
            <w:vAlign w:val="center"/>
          </w:tcPr>
          <w:p w:rsidR="0023051F" w:rsidRPr="0023051F" w:rsidRDefault="0023051F" w:rsidP="00D13265">
            <w:pPr>
              <w:pStyle w:val="IEEEParagraph"/>
              <w:jc w:val="center"/>
              <w:rPr>
                <w:rFonts w:asciiTheme="majorBidi" w:hAnsiTheme="majorBidi" w:cstheme="majorBidi"/>
              </w:rPr>
            </w:pPr>
            <w:r w:rsidRPr="0023051F">
              <w:rPr>
                <w:rFonts w:asciiTheme="majorBidi" w:hAnsiTheme="majorBidi" w:cstheme="majorBidi"/>
              </w:rPr>
              <w:t>1643.79</w:t>
            </w:r>
          </w:p>
        </w:tc>
        <w:tc>
          <w:tcPr>
            <w:tcW w:w="1320" w:type="dxa"/>
            <w:shd w:val="clear" w:color="auto" w:fill="FFFFFF"/>
            <w:tcMar>
              <w:top w:w="30" w:type="dxa"/>
              <w:left w:w="30" w:type="dxa"/>
              <w:bottom w:w="30" w:type="dxa"/>
              <w:right w:w="30" w:type="dxa"/>
            </w:tcMar>
            <w:vAlign w:val="center"/>
          </w:tcPr>
          <w:p w:rsidR="0023051F" w:rsidRPr="0023051F" w:rsidRDefault="0023051F" w:rsidP="00D13265">
            <w:pPr>
              <w:pStyle w:val="IEEEParagraph"/>
              <w:jc w:val="center"/>
              <w:rPr>
                <w:rFonts w:asciiTheme="majorBidi" w:hAnsiTheme="majorBidi" w:cstheme="majorBidi"/>
              </w:rPr>
            </w:pPr>
            <w:r w:rsidRPr="0023051F">
              <w:rPr>
                <w:rFonts w:asciiTheme="majorBidi" w:hAnsiTheme="majorBidi" w:cstheme="majorBidi"/>
              </w:rPr>
              <w:t>1131.24</w:t>
            </w:r>
          </w:p>
        </w:tc>
        <w:tc>
          <w:tcPr>
            <w:tcW w:w="1748" w:type="dxa"/>
            <w:shd w:val="clear" w:color="auto" w:fill="FFFFFF"/>
            <w:tcMar>
              <w:top w:w="30" w:type="dxa"/>
              <w:left w:w="30" w:type="dxa"/>
              <w:bottom w:w="30" w:type="dxa"/>
              <w:right w:w="30" w:type="dxa"/>
            </w:tcMar>
            <w:vAlign w:val="center"/>
          </w:tcPr>
          <w:p w:rsidR="0023051F" w:rsidRPr="0023051F" w:rsidRDefault="0023051F" w:rsidP="00D13265">
            <w:pPr>
              <w:pStyle w:val="IEEEParagraph"/>
              <w:jc w:val="center"/>
              <w:rPr>
                <w:rFonts w:asciiTheme="majorBidi" w:hAnsiTheme="majorBidi" w:cstheme="majorBidi"/>
              </w:rPr>
            </w:pPr>
            <w:r w:rsidRPr="0023051F">
              <w:rPr>
                <w:rFonts w:asciiTheme="majorBidi" w:hAnsiTheme="majorBidi" w:cstheme="majorBidi"/>
              </w:rPr>
              <w:t>283.21</w:t>
            </w:r>
          </w:p>
        </w:tc>
      </w:tr>
      <w:tr w:rsidR="0023051F" w:rsidRPr="0023051F" w:rsidTr="00A90924">
        <w:trPr>
          <w:cantSplit/>
          <w:trHeight w:val="194"/>
          <w:jc w:val="center"/>
        </w:trPr>
        <w:tc>
          <w:tcPr>
            <w:tcW w:w="7117" w:type="dxa"/>
            <w:gridSpan w:val="5"/>
            <w:shd w:val="clear" w:color="auto" w:fill="FFFFFF"/>
            <w:tcMar>
              <w:top w:w="30" w:type="dxa"/>
              <w:left w:w="30" w:type="dxa"/>
              <w:bottom w:w="30" w:type="dxa"/>
              <w:right w:w="30" w:type="dxa"/>
            </w:tcMar>
          </w:tcPr>
          <w:p w:rsidR="0023051F" w:rsidRPr="0023051F" w:rsidRDefault="0023051F" w:rsidP="00D13265">
            <w:pPr>
              <w:pStyle w:val="IEEEParagraph"/>
              <w:rPr>
                <w:rFonts w:asciiTheme="majorBidi" w:hAnsiTheme="majorBidi" w:cstheme="majorBidi"/>
              </w:rPr>
            </w:pPr>
            <w:r w:rsidRPr="0023051F">
              <w:rPr>
                <w:rFonts w:asciiTheme="majorBidi" w:hAnsiTheme="majorBidi" w:cstheme="majorBidi"/>
              </w:rPr>
              <w:t>a. Multiple modes exist. The smallest value is shown</w:t>
            </w:r>
          </w:p>
        </w:tc>
        <w:tc>
          <w:tcPr>
            <w:tcW w:w="1748" w:type="dxa"/>
            <w:shd w:val="clear" w:color="auto" w:fill="FFFFFF"/>
            <w:tcMar>
              <w:top w:w="30" w:type="dxa"/>
              <w:left w:w="30" w:type="dxa"/>
              <w:bottom w:w="30" w:type="dxa"/>
              <w:right w:w="30" w:type="dxa"/>
            </w:tcMar>
          </w:tcPr>
          <w:p w:rsidR="0023051F" w:rsidRPr="0023051F" w:rsidRDefault="0023051F" w:rsidP="00D13265">
            <w:pPr>
              <w:pStyle w:val="IEEEParagraph"/>
              <w:rPr>
                <w:rFonts w:asciiTheme="majorBidi" w:hAnsiTheme="majorBidi" w:cstheme="majorBidi"/>
              </w:rPr>
            </w:pPr>
          </w:p>
        </w:tc>
      </w:tr>
    </w:tbl>
    <w:p w:rsidR="0023051F" w:rsidRPr="0023051F" w:rsidRDefault="0023051F" w:rsidP="0023051F">
      <w:pPr>
        <w:pStyle w:val="IEEEHeading1"/>
        <w:numPr>
          <w:ilvl w:val="0"/>
          <w:numId w:val="0"/>
        </w:numPr>
        <w:spacing w:before="0" w:after="0"/>
        <w:rPr>
          <w:rFonts w:asciiTheme="majorBidi" w:hAnsiTheme="majorBidi" w:cstheme="majorBidi"/>
          <w:b/>
          <w:sz w:val="24"/>
          <w:lang w:val="en-GB"/>
        </w:rPr>
      </w:pPr>
    </w:p>
    <w:p w:rsidR="00100EF8" w:rsidRPr="00100EF8" w:rsidRDefault="00A90924" w:rsidP="00100EF8">
      <w:pPr>
        <w:pStyle w:val="Caption"/>
        <w:spacing w:before="0" w:after="0"/>
        <w:jc w:val="center"/>
        <w:rPr>
          <w:rFonts w:asciiTheme="majorBidi" w:hAnsiTheme="majorBidi" w:cstheme="majorBidi"/>
          <w:bCs w:val="0"/>
          <w:sz w:val="24"/>
          <w:szCs w:val="24"/>
          <w:lang w:val="en-US"/>
        </w:rPr>
      </w:pPr>
      <w:proofErr w:type="spellStart"/>
      <w:r>
        <w:rPr>
          <w:bCs w:val="0"/>
          <w:color w:val="000000"/>
          <w:sz w:val="24"/>
          <w:szCs w:val="24"/>
          <w:lang w:val="en-US"/>
        </w:rPr>
        <w:t>Pembahasan</w:t>
      </w:r>
      <w:proofErr w:type="spellEnd"/>
    </w:p>
    <w:p w:rsidR="0023051F" w:rsidRPr="0023051F" w:rsidRDefault="00A90924" w:rsidP="0023051F">
      <w:pPr>
        <w:pStyle w:val="Caption"/>
        <w:spacing w:before="0" w:after="0"/>
        <w:jc w:val="both"/>
        <w:rPr>
          <w:rFonts w:asciiTheme="majorBidi" w:hAnsiTheme="majorBidi" w:cstheme="majorBidi"/>
          <w:b w:val="0"/>
          <w:sz w:val="24"/>
          <w:szCs w:val="24"/>
        </w:rPr>
      </w:pPr>
      <w:r>
        <w:rPr>
          <w:rFonts w:asciiTheme="majorBidi" w:hAnsiTheme="majorBidi" w:cstheme="majorBidi"/>
          <w:b w:val="0"/>
          <w:sz w:val="24"/>
          <w:szCs w:val="24"/>
          <w:lang w:val="en-GB"/>
        </w:rPr>
        <w:tab/>
      </w:r>
      <w:r w:rsidR="0023051F" w:rsidRPr="0023051F">
        <w:rPr>
          <w:rFonts w:asciiTheme="majorBidi" w:hAnsiTheme="majorBidi" w:cstheme="majorBidi"/>
          <w:b w:val="0"/>
          <w:sz w:val="24"/>
          <w:szCs w:val="24"/>
        </w:rPr>
        <w:t>Angka Partisipasi Sekolah (APS), Angka Partisipasi Kasar dan Angka Partisipasi Murni (APM) adalah indikator untuk melihat partisipasi pendidikan. Partisipasi pendidikan merupakan tingkat partisipasi masyarakat dalam memperoleh pendidikan dalam jenjang usia dan jenjang pendidikan tertentu. Secara umum partisipasi pendidikan di Indonesia trenya mengalami peningkatan setiap tahun baik berdasarkan APS, APK maupun APM. Ada pola yang menarik selama periode 1994-2018, yaitu rata-rata partisipasi pendidikan selalu mengalami penurunan seiring dengan bertambahnya usia dan semakin tingginya jenjang pendidikan yang ditempuh.</w:t>
      </w:r>
    </w:p>
    <w:p w:rsidR="0023051F" w:rsidRPr="0023051F" w:rsidRDefault="0023051F" w:rsidP="0023051F">
      <w:pPr>
        <w:rPr>
          <w:rFonts w:asciiTheme="majorBidi" w:hAnsiTheme="majorBidi" w:cstheme="majorBidi"/>
          <w:sz w:val="24"/>
          <w:szCs w:val="24"/>
        </w:rPr>
      </w:pPr>
    </w:p>
    <w:p w:rsidR="0023051F" w:rsidRPr="0023051F" w:rsidRDefault="00100EF8" w:rsidP="0023051F">
      <w:pPr>
        <w:jc w:val="center"/>
        <w:rPr>
          <w:rFonts w:asciiTheme="majorBidi" w:hAnsiTheme="majorBidi" w:cstheme="majorBidi"/>
          <w:sz w:val="24"/>
          <w:szCs w:val="24"/>
        </w:rPr>
      </w:pPr>
      <w:r>
        <w:rPr>
          <w:rFonts w:asciiTheme="majorBidi" w:hAnsiTheme="majorBidi" w:cstheme="majorBidi"/>
          <w:noProof/>
          <w:sz w:val="24"/>
          <w:szCs w:val="24"/>
          <w:lang w:val="en-GB" w:eastAsia="en-GB"/>
        </w:rPr>
        <w:drawing>
          <wp:inline distT="0" distB="0" distL="0" distR="0">
            <wp:extent cx="4933950" cy="1781175"/>
            <wp:effectExtent l="0" t="0" r="0" b="0"/>
            <wp:docPr id="11"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23051F" w:rsidRPr="0023051F" w:rsidRDefault="0023051F" w:rsidP="0023051F">
      <w:pPr>
        <w:jc w:val="center"/>
        <w:rPr>
          <w:rFonts w:asciiTheme="majorBidi" w:hAnsiTheme="majorBidi" w:cstheme="majorBidi"/>
          <w:sz w:val="24"/>
          <w:szCs w:val="24"/>
          <w:lang w:val="en-GB"/>
        </w:rPr>
      </w:pPr>
      <w:proofErr w:type="spellStart"/>
      <w:proofErr w:type="gramStart"/>
      <w:r w:rsidRPr="0023051F">
        <w:rPr>
          <w:rFonts w:asciiTheme="majorBidi" w:hAnsiTheme="majorBidi" w:cstheme="majorBidi"/>
          <w:sz w:val="24"/>
          <w:szCs w:val="24"/>
          <w:lang w:val="en-GB"/>
        </w:rPr>
        <w:t>Gambar</w:t>
      </w:r>
      <w:proofErr w:type="spellEnd"/>
      <w:r w:rsidRPr="0023051F">
        <w:rPr>
          <w:rFonts w:asciiTheme="majorBidi" w:hAnsiTheme="majorBidi" w:cstheme="majorBidi"/>
          <w:sz w:val="24"/>
          <w:szCs w:val="24"/>
          <w:lang w:val="en-GB"/>
        </w:rPr>
        <w:t xml:space="preserve"> 1.</w:t>
      </w:r>
      <w:proofErr w:type="gramEnd"/>
      <w:r w:rsidRPr="0023051F">
        <w:rPr>
          <w:rFonts w:asciiTheme="majorBidi" w:hAnsiTheme="majorBidi" w:cstheme="majorBidi"/>
          <w:sz w:val="24"/>
          <w:szCs w:val="24"/>
          <w:lang w:val="en-GB"/>
        </w:rPr>
        <w:t xml:space="preserve"> </w:t>
      </w:r>
      <w:proofErr w:type="spellStart"/>
      <w:r w:rsidRPr="0023051F">
        <w:rPr>
          <w:rFonts w:asciiTheme="majorBidi" w:hAnsiTheme="majorBidi" w:cstheme="majorBidi"/>
          <w:sz w:val="24"/>
          <w:szCs w:val="24"/>
          <w:lang w:val="en-GB"/>
        </w:rPr>
        <w:t>Nilai</w:t>
      </w:r>
      <w:proofErr w:type="spellEnd"/>
      <w:r w:rsidRPr="0023051F">
        <w:rPr>
          <w:rFonts w:asciiTheme="majorBidi" w:hAnsiTheme="majorBidi" w:cstheme="majorBidi"/>
          <w:sz w:val="24"/>
          <w:szCs w:val="24"/>
          <w:lang w:val="en-GB"/>
        </w:rPr>
        <w:t xml:space="preserve"> Rata-Rata APS, APK </w:t>
      </w:r>
      <w:proofErr w:type="spellStart"/>
      <w:r w:rsidRPr="0023051F">
        <w:rPr>
          <w:rFonts w:asciiTheme="majorBidi" w:hAnsiTheme="majorBidi" w:cstheme="majorBidi"/>
          <w:sz w:val="24"/>
          <w:szCs w:val="24"/>
          <w:lang w:val="en-GB"/>
        </w:rPr>
        <w:t>dan</w:t>
      </w:r>
      <w:proofErr w:type="spellEnd"/>
      <w:r w:rsidRPr="0023051F">
        <w:rPr>
          <w:rFonts w:asciiTheme="majorBidi" w:hAnsiTheme="majorBidi" w:cstheme="majorBidi"/>
          <w:sz w:val="24"/>
          <w:szCs w:val="24"/>
          <w:lang w:val="en-GB"/>
        </w:rPr>
        <w:t xml:space="preserve"> APM (1994-2018)</w:t>
      </w:r>
    </w:p>
    <w:p w:rsidR="0023051F" w:rsidRPr="0023051F" w:rsidRDefault="0023051F" w:rsidP="0023051F">
      <w:pPr>
        <w:jc w:val="center"/>
        <w:rPr>
          <w:rFonts w:asciiTheme="majorBidi" w:hAnsiTheme="majorBidi" w:cstheme="majorBidi"/>
          <w:sz w:val="24"/>
          <w:szCs w:val="24"/>
          <w:lang w:val="en-GB"/>
        </w:rPr>
      </w:pPr>
    </w:p>
    <w:p w:rsidR="0023051F" w:rsidRPr="0023051F" w:rsidRDefault="0023051F" w:rsidP="0023051F">
      <w:pPr>
        <w:jc w:val="both"/>
        <w:rPr>
          <w:rFonts w:asciiTheme="majorBidi" w:hAnsiTheme="majorBidi" w:cstheme="majorBidi"/>
          <w:sz w:val="24"/>
          <w:szCs w:val="24"/>
          <w:lang w:val="en-GB"/>
        </w:rPr>
      </w:pPr>
      <w:r w:rsidRPr="0023051F">
        <w:rPr>
          <w:rFonts w:asciiTheme="majorBidi" w:hAnsiTheme="majorBidi" w:cstheme="majorBidi"/>
          <w:sz w:val="24"/>
          <w:szCs w:val="24"/>
        </w:rPr>
        <w:lastRenderedPageBreak/>
        <w:tab/>
        <w:t>Berdasarkan nilai rata-rata Angka Partisipasi Sekolah (APS) pada Tabel 1, Angka Partisipasi Kasar (APK) pada Tabel 2 dan Angka Partisipasi Murni (APM) pada Tabel 3 menunjukan bahwa usia 7-12 tahun dan usia 13-15 tahun  memiliki tingkat partisipasi pendidikan yang tinggi yaitu: nilai rata-rata APS usia 7-12 tahun sebesar 96,92%, APK sebesar 1.0785E2 (lebih dari seratus persen) dan APM sebesar 93,68%. Sedangkan nilai rata-rata APS usia 13-15 tahun sebesar 84,31%, APK sebesar 81,05% dan APM sebesar 65,75%.  Tingginya tingkat partisipasi pendidikan usia 7-12 tahun dan 13-15 tahun mengindikasikan bahwa program Wajib Belajar 9 tahun yang diterapkan oleh pemerintah telah berhasil meningkatkan partisipasi pendidikan di Indonesia.  Seperti diketahui bahwa usia 7-12 tahun dan usia 13-15 tahun merupakan usia wajib belajar 9 tahun dengan menempuh jenjang SD/MI sampai SMP/MTs. Program Wajib Belajar 9 tahun merupakan realisasi dari amanat UUD 1945 pasal 1, UU. No 20 Tahun 2003 tentang Sistem Pendidikan Nasional dan Peraturan Pemerintah Republik Indonesia nomor 47 tahun 2008 tentang Wajib Belajar</w:t>
      </w:r>
      <w:r w:rsidRPr="0023051F">
        <w:rPr>
          <w:rFonts w:asciiTheme="majorBidi" w:hAnsiTheme="majorBidi" w:cstheme="majorBidi"/>
          <w:sz w:val="24"/>
          <w:szCs w:val="24"/>
          <w:lang w:val="en-GB"/>
        </w:rPr>
        <w:t xml:space="preserve"> </w:t>
      </w:r>
      <w:r w:rsidR="006128CC" w:rsidRPr="0023051F">
        <w:rPr>
          <w:rFonts w:asciiTheme="majorBidi" w:hAnsiTheme="majorBidi" w:cstheme="majorBidi"/>
          <w:sz w:val="24"/>
          <w:szCs w:val="24"/>
          <w:lang w:val="en-GB"/>
        </w:rPr>
        <w:fldChar w:fldCharType="begin" w:fldLock="1"/>
      </w:r>
      <w:r w:rsidRPr="0023051F">
        <w:rPr>
          <w:rFonts w:asciiTheme="majorBidi" w:hAnsiTheme="majorBidi" w:cstheme="majorBidi"/>
          <w:sz w:val="24"/>
          <w:szCs w:val="24"/>
          <w:lang w:val="en-GB"/>
        </w:rPr>
        <w:instrText>ADDIN CSL_CITATION {"citationItems":[{"id":"ITEM-1","itemData":{"author":[{"dropping-particle":"","family":"Depdiknas","given":"","non-dropping-particle":"","parse-names":false,"suffix":""}],"id":"ITEM-1","issued":{"date-parts":[["2010"]]},"publisher":"Departemen Pendidikan Nasional","publisher-place":"Jakarta","title":"Peraturan Pemerintah Republik Indonesia Nomor 47 Tahun 2008 Tentang Wajib Belajar 9 Tahun","type":"book"},"uris":["http://www.mendeley.com/documents/?uuid=772ced6e-072b-463f-ac63-cede3e503e68"]}],"mendeley":{"formattedCitation":"(Depdiknas, 2010)","plainTextFormattedCitation":"(Depdiknas, 2010)","previouslyFormattedCitation":"(Depdiknas, 2010)"},"properties":{"noteIndex":0},"schema":"https://github.com/citation-style-language/schema/raw/master/csl-citation.json"}</w:instrText>
      </w:r>
      <w:r w:rsidR="006128CC" w:rsidRPr="0023051F">
        <w:rPr>
          <w:rFonts w:asciiTheme="majorBidi" w:hAnsiTheme="majorBidi" w:cstheme="majorBidi"/>
          <w:sz w:val="24"/>
          <w:szCs w:val="24"/>
          <w:lang w:val="en-GB"/>
        </w:rPr>
        <w:fldChar w:fldCharType="separate"/>
      </w:r>
      <w:r w:rsidRPr="0023051F">
        <w:rPr>
          <w:rFonts w:asciiTheme="majorBidi" w:hAnsiTheme="majorBidi" w:cstheme="majorBidi"/>
          <w:noProof/>
          <w:sz w:val="24"/>
          <w:szCs w:val="24"/>
          <w:lang w:val="en-GB"/>
        </w:rPr>
        <w:t>(Depdiknas, 2010)</w:t>
      </w:r>
      <w:r w:rsidR="006128CC" w:rsidRPr="0023051F">
        <w:rPr>
          <w:rFonts w:asciiTheme="majorBidi" w:hAnsiTheme="majorBidi" w:cstheme="majorBidi"/>
          <w:sz w:val="24"/>
          <w:szCs w:val="24"/>
          <w:lang w:val="en-GB"/>
        </w:rPr>
        <w:fldChar w:fldCharType="end"/>
      </w:r>
      <w:r w:rsidRPr="0023051F">
        <w:rPr>
          <w:rFonts w:asciiTheme="majorBidi" w:hAnsiTheme="majorBidi" w:cstheme="majorBidi"/>
          <w:sz w:val="24"/>
          <w:szCs w:val="24"/>
          <w:lang w:val="en-GB"/>
        </w:rPr>
        <w:t xml:space="preserve">. </w:t>
      </w:r>
      <w:r w:rsidRPr="0023051F">
        <w:rPr>
          <w:rFonts w:asciiTheme="majorBidi" w:hAnsiTheme="majorBidi" w:cstheme="majorBidi"/>
          <w:sz w:val="24"/>
          <w:szCs w:val="24"/>
        </w:rPr>
        <w:t xml:space="preserve">Selain itu kesepakatan antar kepala negara seluruh dunia juga menekankan pembangunan manusia yang disebut </w:t>
      </w:r>
      <w:r w:rsidRPr="0023051F">
        <w:rPr>
          <w:rFonts w:asciiTheme="majorBidi" w:hAnsiTheme="majorBidi" w:cstheme="majorBidi"/>
          <w:i/>
          <w:sz w:val="24"/>
          <w:szCs w:val="24"/>
        </w:rPr>
        <w:t>Millennium Development Goals (MDGs)</w:t>
      </w:r>
      <w:r w:rsidRPr="0023051F">
        <w:rPr>
          <w:rFonts w:asciiTheme="majorBidi" w:hAnsiTheme="majorBidi" w:cstheme="majorBidi"/>
          <w:sz w:val="24"/>
          <w:szCs w:val="24"/>
        </w:rPr>
        <w:t xml:space="preserve"> pada tahun 2000 yang salah satu tujuannya adalah penuntasan pendidikan dasar bagi seluruh warga negar</w:t>
      </w:r>
      <w:r w:rsidRPr="0023051F">
        <w:rPr>
          <w:rFonts w:asciiTheme="majorBidi" w:hAnsiTheme="majorBidi" w:cstheme="majorBidi"/>
          <w:sz w:val="24"/>
          <w:szCs w:val="24"/>
          <w:lang w:val="en-GB"/>
        </w:rPr>
        <w:t xml:space="preserve"> </w:t>
      </w:r>
      <w:r w:rsidR="006128CC" w:rsidRPr="0023051F">
        <w:rPr>
          <w:rFonts w:asciiTheme="majorBidi" w:hAnsiTheme="majorBidi" w:cstheme="majorBidi"/>
          <w:sz w:val="24"/>
          <w:szCs w:val="24"/>
          <w:lang w:val="en-GB"/>
        </w:rPr>
        <w:fldChar w:fldCharType="begin" w:fldLock="1"/>
      </w:r>
      <w:r w:rsidRPr="0023051F">
        <w:rPr>
          <w:rFonts w:asciiTheme="majorBidi" w:hAnsiTheme="majorBidi" w:cstheme="majorBidi"/>
          <w:sz w:val="24"/>
          <w:szCs w:val="24"/>
          <w:lang w:val="en-GB"/>
        </w:rPr>
        <w:instrText>ADDIN CSL_CITATION {"citationItems":[{"id":"ITEM-1","itemData":{"DOI":"10.24832/jpnk.v16i2.447","ISSN":"24608300","abstract":"Tulisan ini bertujuan mengkaji solusi dalam mengatasi masalah tersebut melalui model Pos Pemberdayaan Keluarga (Posdaya). Teori-teori yang digunakan mengacu pada teori perubahan sosial dan teori pemberdayaan masyarakat. Dengan kompleksnya masalah yang dihadapi kelompok masyarakat hard rock tersebut, penuntasan wajar 9 tahun perlu dilakukan melalui upaya pemberdayaan keluarga dalam wahana Posdaya. Posdaya merupakan forum silaturahmi, komunikasi, advokasi dan wadah kegiatan penguatan delapan fungsi-fungsi keluarga secara terpadu. Pengembangan Posdaya tidak harus membuat lembaga baru dalam masyarakat, tetapi dapat mengoptimalkan yang ada melalui aktivitas pemberdayaan. Posdaya menjadi wahana diskusi dalam memecahkan permasalahan sehari-hari, khususnya kendala- kendala penuntasan wajar 9 tahun secara bersama antara anak, orang tua, dan masyarakat sesuai dengan kebutuhan dan potensi/peran masing-masing. Posdaya juga mampu membangun kembali kearifan lokal dan modal sosial. Pada akhirnya Posdaya tidak hanya memecahkan masalah pendidikan, akan tetapi juga masalah kemiskinan dan masalah sosial lainnya. Oleh karena itu penuntasan wajar 9 tahun perlu kerja sama lintas departemen di bawah koordinasi Menkokesra, terutama sektor pendidikan, kesehatan, dan kewirausahaan, bersama pemerintah daerah dan masyarakat.","author":[{"dropping-particle":"","family":"Anwas","given":"Oos M","non-dropping-particle":"","parse-names":false,"suffix":""}],"container-title":"Jurnal Pendidikan dan Kebudayaan","id":"ITEM-1","issue":"2","issued":{"date-parts":[["2010"]]},"page":"206-214","title":"Model Posdaya Dalam Penuntasan Wajib Belajar Pendidikan Dasar 9 Tahun","type":"article-journal","volume":"16"},"uris":["http://www.mendeley.com/documents/?uuid=00ce38fd-8ee5-4b74-ad91-521742038b3a"]},{"id":"ITEM-2","itemData":{"author":[{"dropping-particle":"","family":"Kemendikbud","given":"","non-dropping-particle":"","parse-names":false,"suffix":""}],"container-title":"Kementerian Pendidikan dan Kebudayaan","id":"ITEM-2","issued":{"date-parts":[["2017"]]},"title":"APK-APM","type":"webpage"},"uris":["http://www.mendeley.com/documents/?uuid=d78f4441-dca4-435d-9d08-3fb9fe2f983f"]}],"mendeley":{"formattedCitation":"(Anwas, 2010; Kemendikbud, 2017)","plainTextFormattedCitation":"(Anwas, 2010; Kemendikbud, 2017)","previouslyFormattedCitation":"(Anwas, 2010; Kemendikbud, 2017)"},"properties":{"noteIndex":0},"schema":"https://github.com/citation-style-language/schema/raw/master/csl-citation.json"}</w:instrText>
      </w:r>
      <w:r w:rsidR="006128CC" w:rsidRPr="0023051F">
        <w:rPr>
          <w:rFonts w:asciiTheme="majorBidi" w:hAnsiTheme="majorBidi" w:cstheme="majorBidi"/>
          <w:sz w:val="24"/>
          <w:szCs w:val="24"/>
          <w:lang w:val="en-GB"/>
        </w:rPr>
        <w:fldChar w:fldCharType="separate"/>
      </w:r>
      <w:r w:rsidRPr="0023051F">
        <w:rPr>
          <w:rFonts w:asciiTheme="majorBidi" w:hAnsiTheme="majorBidi" w:cstheme="majorBidi"/>
          <w:noProof/>
          <w:sz w:val="24"/>
          <w:szCs w:val="24"/>
          <w:lang w:val="en-GB"/>
        </w:rPr>
        <w:t>(Anwas, 2010; Kemendikbud, 2017)</w:t>
      </w:r>
      <w:r w:rsidR="006128CC" w:rsidRPr="0023051F">
        <w:rPr>
          <w:rFonts w:asciiTheme="majorBidi" w:hAnsiTheme="majorBidi" w:cstheme="majorBidi"/>
          <w:sz w:val="24"/>
          <w:szCs w:val="24"/>
          <w:lang w:val="en-GB"/>
        </w:rPr>
        <w:fldChar w:fldCharType="end"/>
      </w:r>
      <w:r w:rsidRPr="0023051F">
        <w:rPr>
          <w:rFonts w:asciiTheme="majorBidi" w:hAnsiTheme="majorBidi" w:cstheme="majorBidi"/>
          <w:sz w:val="24"/>
          <w:szCs w:val="24"/>
          <w:lang w:val="en-GB"/>
        </w:rPr>
        <w:t xml:space="preserve">. </w:t>
      </w:r>
      <w:r w:rsidRPr="0023051F">
        <w:rPr>
          <w:rFonts w:asciiTheme="majorBidi" w:hAnsiTheme="majorBidi" w:cstheme="majorBidi"/>
          <w:sz w:val="24"/>
          <w:szCs w:val="24"/>
        </w:rPr>
        <w:t xml:space="preserve">Tingginya patisipasi pendidikan pada usia ini juga didukung oleh minat masyarakat untuk sekolah karena tidak dikenakan biaya apapun (Supriyadi, 2010).  Meskipun demikian pemerintah harus tetap meningkatkan angka partisipasi pendidikan dasar terutama di jenjang SMP karena nilai rata-rata APK hanya sebesar 65,75%, hal ini dapat dilakukan dengan melibatkan semua pihak untuk mengatasi faktor-faktor yang menghambat terlaksananya kebijakan yang telah diterapkan oleh pemerintah </w:t>
      </w:r>
      <w:r w:rsidR="006128CC" w:rsidRPr="0023051F">
        <w:rPr>
          <w:rFonts w:asciiTheme="majorBidi" w:hAnsiTheme="majorBidi" w:cstheme="majorBidi"/>
          <w:sz w:val="24"/>
          <w:szCs w:val="24"/>
          <w:lang w:val="en-GB"/>
        </w:rPr>
        <w:fldChar w:fldCharType="begin" w:fldLock="1"/>
      </w:r>
      <w:r w:rsidRPr="0023051F">
        <w:rPr>
          <w:rFonts w:asciiTheme="majorBidi" w:hAnsiTheme="majorBidi" w:cstheme="majorBidi"/>
          <w:sz w:val="24"/>
          <w:szCs w:val="24"/>
        </w:rPr>
        <w:instrText>ADDIN CSL_CITATION {"citationItems":[{"id":"ITEM-1","itemData":{"DOI":"10.24832/jpnk.v17i1.6","ISSN":"24608300","abstract":"Abstrak: Penelitian ini bertujuan untuk: 1) memperoleh informasi tentang daerah-daerah yang paling rendah dalam pencapaian Wajar Dikdas; 2)mengkaji faktor-faktor yang terkait dengan rendahnya pencapaian Wajar Dikdas, dan 3) merumuskan alternatif upaya pemecahan masalah penuntasan Wajar Dikdas. Penelitian menggunakan pendekatan kuantitif terhadap data sekunder dan dipadukan dengan pengumpulan data secara kualitatif melalui pengamatan lapangan di beberapa daerah kasus. Hasil temuan:1) Tingkat pencapaian Wajar Dikdas yang rendah didominasi oleh Kawasan Timur Indonesia (KTI), yaitu dimulai dari tingkat SD/MI, sedangkan di wilayah Kawasan Barat Indonesia (KBI) permasalahannya lebih banyak di tingkat SMP/MTs; 2) faktor-faktor penyebab di setiap daerah cukup bervariasi a.l. faktor 1) kemiskinan penduduk, 2) kesulitan menuju sekolah, 3) kurangnya layanan pendidikan, 4) rendahnya motivasi orangtua dan siswa terhadap pendidikan, 5) kurangnya dukungan pemeritah daerah dan masyarakat terhadap pendidikan, serta 6) faktor sosial budaya; 3) alternati</w:instrText>
      </w:r>
      <w:r w:rsidRPr="0023051F">
        <w:rPr>
          <w:rFonts w:asciiTheme="majorBidi" w:hAnsiTheme="majorBidi" w:cstheme="majorBidi"/>
          <w:sz w:val="24"/>
          <w:szCs w:val="24"/>
          <w:lang w:val="en-GB"/>
        </w:rPr>
        <w:instrText>f upaya pemecahan masalah penuntasan Wajar Dikdas perlu didasarkan pada faktor penyebabnya, a.l. perlu penghapusan biaya pendidikan a.l. melalui pola subsidi untuk menghapus/meringankan biaya pendidikan, perlu perluasan program alternatif layanan Dikdas, perlu peningkatan sosialisasi dan penghargaan, perlu pengalokasian anggaran pendidikan dengan memprioritaskan kabupaten yang memiliki kapasitas fiskal yang rendah serta peningkatan partisipasi masyarakat dalam program penuntasan Wajar Dikdas. Kata kunci: wajib belajar dan pendidikan dasar Abstract: The objectives of the study were 1) to get information about the areas with the lowest attainment of compulsory basic education (CBE) by provinces and districts, 2) to identify factors related to the low attainment CBE, and 3) to formulate an alternative problem solving efforts in completing CBE. The study based on quantitative approach to secondary data combined with qualitative research data through field observation. The findings of this research are: 1) low attainment of CBE dominated by Eastern Region of Indonesia (KTI), started from primary school level, whereas in the Western Region of Indonesia (KBI) more problems found at the secondary shool level, 2) some factors related to attainment of CBE are proverty, geographic condition, education infrastructure, motivation of parent and student, lack of support from local government and communities to education, and sosio cultur…","author":[{"dropping-particle":"","family":"Berlian VA","given":"Nur","non-dropping-particle":"","parse-names":false,"suffix":""}],"container-title":"Jurnal Pendidikan dan Kebudayaan","id":"ITEM-1","issue":"1","issued":{"date-parts":[["2011"]]},"page":"43-55","title":"Faktor-faktor yang Terkait dengan Rendahnya Pencapaian Wajib Belajar Pendidikan Dasar 9 Tahun","type":"article-journal","volume":"17"},"uris":["http://www.mendeley.com/documents/?uuid=68fadf27-a587-40d9-bd0c-160a832c3c42"]},{"id":"ITEM-2","itemData":{"abstract":"The government's efforts to accelerate the completion of a national movement nine year compulsory education was hampered when the economic crisis hit Indonesia in 1997. GER and NER SMP/MTs/ equivalent in West Kalimantan in 2007/2008 are still below the national level of completeness. This means still below the provincial average. The condition of primary education in sub district of Kubu Regency Kingdom is still lacking, except in the River District Kingdom. Data GER and NER figures SMP/MTs/ equivalent does not exist, still using the data Pontianak regency. This study aims to obtain data and information fair completion of 9 years, mapping the potential of basic education, discovery issues, and the discovery of alternative solutions according to local needs in the context of the completion and improvement of the quality of the Nine- year compulsory education in the district of Kubu Raya. Metode research through dissemination and advocacy approaches to strengthen the awareness of public education. Location of research conducted in the district of Batu Ampar and splayed. Conclusion The results of the study; (1) Compulsory Basic Education in SD/MI/equivalent has reached Completed Assembly, (2) On SMP/MTs/equivalent in the District has reached the Completed Primary Outstretched, while the district has not reached complete Batu Ampar Pratama, (3) Digits repeat and dropout rates (DO) is still high in both the district and subdistrict stretched Batu Ampar, (4) SMP/ MTs/equal numbers repeat and dropout rates (DO) in the district of Batu Ampar has reached beyond national targets, where as in the district stretched has not reached the national target, (5) Achieve basic education graduation high graduation rate, (6) The components of education is still low, (7) Awareness of parents and students the importance of higher education for the future.","author":[{"dropping-particle":"","family":"Buwono","given":"H. Sri","non-dropping-particle":"","parse-names":false,"suffix":""}],"container-title":"Jurnal Pendidikan Sosiologi dan Humaniora","id":"ITEM-2","issue":"2","issued":{"date-parts":[["2011"]]},"page":"208-218","title":"Suatu Pendekatan Sosialisasi Dan Advokasi Penuntasan Wajib Belajar 9 Tahun Di Kabupaten Kubu Raya","type":"article-journal","volume":"2"},"uris":["http://www.mendeley.com/documents/?uuid=57ef83b1-692a-4822-b0bb-52da43e21b8c"]},{"id":"ITEM-3","itemData":{"DOI":"10.21831/jppm.v3i1.8061","ISSN":"2355-1615","abstract":"Penelitian ini bertujuan untuk mendeskripsikan tentang: (1) perhatian orang tua terhadap pentingnya pendidikan dalam hidup bermasyarakat. (2) tanggung jawab orang tua dalam menyediakan fasilitas pendidikan bagi anak. (3) orientasi nilai yang dijadikan dasar oleh orang tua dalam pendidikan anak. (4) faktor-faktor yang berpengaruh terhadap kepedulian orang tua dalam pendidikan anak untuk menyelesaikan wajib belajar 9 tahun. Penelitian ini menggunakan pendekatan kualitatif deskriptif. Teknik pengumpulan data melalui wawancara, observasi dan dokumentasi. Data yang diperoleh dianalisis dengan menggunakan analisis perbandingan tetap yaitu analisis domain, analisis taksonomi dan analisis tema, pengambilan kesimpulan dan verifikasi, sedangkan untuk mencapai kredibilitas data menggunakan ketekunan pengamatan dan triangulasi. Hasil penelitian adalah: (1) perhatian orang tua terhadap pendidikan anak sangat rendah, karena dipengaruhi oleh persepsi bahwa sekolah hanya untuk sekadar mengajarkan membaca, menulis dan berhitung. (2) orang tua tidak menyediakan fasilitas pendidikan di rumah sebagai penunjang proses belajar yang didapat di sekolah. (3) tingginya angka anak putus sekolah diakibatkan oleh nilai yang dianut oleh orang tua yang menganggap sekolah bukan jaminan untuk mendapatkan pekerjaan yang layak. (4) faktor-faktor yang berpengaruh terhadap kepedulian Orang tua adalah tidak merespon secara positif program wajib belajar 9 tahun, dan minat dan motivasi belajar anak yang justru bersumber dari lingkungan keluarga itu sendiri.Kata Kunci: kepedulian orang tua, pendidikan wajib belajar 9 tahun Parents' Attention to Children Education in Completeing 9 Year Compulsory EducationAbstractThis research is. The purpose of to describe about: (1) parental attention to the importance of education in social life. (2) the responsibility of parents to provide educational facilities for children. (3) the orientation value basis by parents in children's education. (4) factors that influence the awareness of parents in the education of children to complete nine years of compulsory education. This study employed descriptive qualitative approach. The technique of collecting data through interviews, observation and documentation. The data obtained were analyzed using comparative analysis remains the domain analysis, taxonomic analysis and theme analysis, deduction and verification, in order to achieve credibility observational data using persistence and triangulation. The results ar…","author":[{"dropping-particle":"","family":"Malik","given":"Halim K","non-dropping-particle":"","parse-names":false,"suffix":""},{"dropping-particle":"","family":"Sumarno","given":"Sumarno","non-dropping-particle":"","parse-names":false,"suffix":""}],"container-title":"Jurnal Pendidikan dan Pemberdayaan Masyarakat","id":"ITEM-3","issue":"1","issued":{"date-parts":[["2016"]]},"page":"38-47","title":"Kepedulian orang tua terhadap pendidikan anak untuk menyelesaikan program wajar 9 tahun","type":"article-journal","volume":"3"},"uris":["http://www.mendeley.com/documents/?uuid=9e88aca7-3bad-4ae3-9810-77c93d7e9967"]},{"id":"ITEM-4","itemData":{"abstract":"The focus of this study is on describing the 9-years compulsory education profiles at Kediri district and por- traying the problems in implementing the program. The data were collected through analyzing the relevant documents, observing, interviewing, and carrying out focused-group discussions involving go respondents. The results of descriptive, qualitative analyses reveal that the profiles of Kediri’s 9 year compulsory education reflect the population, development, distribution, quality and efficiency of each district. This suggests the need for an education model as the alternative to deal with the existing problems.","author":[{"dropping-particle":"","family":"Ulfatin","given":"Nurul","non-dropping-particle":"","parse-names":false,"suffix":""},{"dropping-particle":"","family":"Mukhadis","given":"Amat","non-dropping-particle":"","parse-names":false,"suffix":""},{"dropping-particle":"","family":"Imron","given":"Ali","non-dropping-particle":"","parse-names":false,"suffix":""}],"container-title":"Jurnal Ilmu Pendidikan","id":"ITEM-4","issue":"1","issued":{"date-parts":[["2010"]]},"page":"36-45","title":"Profil Wajib Belajar 9 Tahun dan Alternatif Penuntasannya","type":"article-journal","volume":"17"},"uris":["http://www.mendeley.com/documents/?uuid=afe5eca6-8ca0-41f9-8de6-24c1f2d73407"]}],"mendeley":{"formattedCitation":"(Berlian VA, 2011; Buwono, 2011; Malik &amp; Sumarno, 2016; Ulfatin, Mukhadis, &amp; Imron, 2010)","plainTextFormattedCitation":"(Berlian VA, 2011; Buwono, 2011; Malik &amp; Sumarno, 2016; Ulfatin, Mukhadis, &amp; Imron, 2010)","previouslyFormattedCitation":"(Berlian VA, 2011; Buwono, 2011; Malik &amp; Sumarno, 2016; Ulfatin, Mukhadis, &amp; Imron, 2010)"},"properties":{"noteIndex":0},"schema":"https://github.com/citation-style-language/schema/raw/master/csl-citation.json"}</w:instrText>
      </w:r>
      <w:r w:rsidR="006128CC" w:rsidRPr="0023051F">
        <w:rPr>
          <w:rFonts w:asciiTheme="majorBidi" w:hAnsiTheme="majorBidi" w:cstheme="majorBidi"/>
          <w:sz w:val="24"/>
          <w:szCs w:val="24"/>
          <w:lang w:val="en-GB"/>
        </w:rPr>
        <w:fldChar w:fldCharType="separate"/>
      </w:r>
      <w:r w:rsidRPr="0023051F">
        <w:rPr>
          <w:rFonts w:asciiTheme="majorBidi" w:hAnsiTheme="majorBidi" w:cstheme="majorBidi"/>
          <w:noProof/>
          <w:sz w:val="24"/>
          <w:szCs w:val="24"/>
          <w:lang w:val="en-GB"/>
        </w:rPr>
        <w:t>(Berlian VA, 2011; Buwono, 2011; Malik &amp; Sumarno, 2016; Ulfatin, Mukhadis, &amp; Imron, 2010)</w:t>
      </w:r>
      <w:r w:rsidR="006128CC" w:rsidRPr="0023051F">
        <w:rPr>
          <w:rFonts w:asciiTheme="majorBidi" w:hAnsiTheme="majorBidi" w:cstheme="majorBidi"/>
          <w:sz w:val="24"/>
          <w:szCs w:val="24"/>
          <w:lang w:val="en-GB"/>
        </w:rPr>
        <w:fldChar w:fldCharType="end"/>
      </w:r>
      <w:r w:rsidRPr="0023051F">
        <w:rPr>
          <w:rFonts w:asciiTheme="majorBidi" w:hAnsiTheme="majorBidi" w:cstheme="majorBidi"/>
          <w:sz w:val="24"/>
          <w:szCs w:val="24"/>
          <w:lang w:val="en-GB"/>
        </w:rPr>
        <w:t>.</w:t>
      </w:r>
    </w:p>
    <w:p w:rsidR="0023051F" w:rsidRPr="0023051F" w:rsidRDefault="0023051F" w:rsidP="0023051F">
      <w:pPr>
        <w:jc w:val="both"/>
        <w:rPr>
          <w:rFonts w:asciiTheme="majorBidi" w:hAnsiTheme="majorBidi" w:cstheme="majorBidi"/>
          <w:sz w:val="24"/>
          <w:szCs w:val="24"/>
        </w:rPr>
      </w:pPr>
      <w:r w:rsidRPr="0023051F">
        <w:rPr>
          <w:rFonts w:asciiTheme="majorBidi" w:hAnsiTheme="majorBidi" w:cstheme="majorBidi"/>
          <w:sz w:val="24"/>
          <w:szCs w:val="24"/>
        </w:rPr>
        <w:tab/>
        <w:t>Berdasarkan Tabel 1, Tabel 2 dan Tabel 3 dapat dilihat bahwa angka partisipasi pendidikan untuk usia 16-18 tahun yang merupakan  usia sekolah jenjang SMA/MA masih cukup rendah, yaitu  nilai rata-rata APS  hanya 56,24%, nilai rata-rata APK sebesar 58,65%  dan nilai rata-rata  APM hanya 45,25%. Selama periode 1994-2018 tingkat APS mengalami peningkatan sebesar 27,17%, APK meningkat sebesar 39,82% dan APM meningkat sebesar 27,93%.   Hal ini terjadi karena beberapa faktor seperti faktor kemiskinan, kesadaran untuk melanjutkan sekolah rendah, faktor lingkungan, perhatian dari orang tua dan lain sebagainya</w:t>
      </w:r>
      <w:r w:rsidRPr="0023051F">
        <w:rPr>
          <w:rFonts w:asciiTheme="majorBidi" w:hAnsiTheme="majorBidi" w:cstheme="majorBidi"/>
          <w:sz w:val="24"/>
          <w:szCs w:val="24"/>
          <w:lang w:val="en-GB"/>
        </w:rPr>
        <w:t xml:space="preserve"> </w:t>
      </w:r>
      <w:r w:rsidR="006128CC" w:rsidRPr="0023051F">
        <w:rPr>
          <w:rFonts w:asciiTheme="majorBidi" w:hAnsiTheme="majorBidi" w:cstheme="majorBidi"/>
          <w:sz w:val="24"/>
          <w:szCs w:val="24"/>
          <w:lang w:val="en-GB"/>
        </w:rPr>
        <w:fldChar w:fldCharType="begin" w:fldLock="1"/>
      </w:r>
      <w:r w:rsidRPr="0023051F">
        <w:rPr>
          <w:rFonts w:asciiTheme="majorBidi" w:hAnsiTheme="majorBidi" w:cstheme="majorBidi"/>
          <w:sz w:val="24"/>
          <w:szCs w:val="24"/>
          <w:lang w:val="en-GB"/>
        </w:rPr>
        <w:instrText>ADDIN CSL_CITATION {"citationItems":[{"id":"ITEM-1","itemData":{"DOI":"10.35791/agrsosek.13.3a.2017.18401","ISSN":"1907-4298","abstract":"This study aims to determine what factors are the cause of drop out of the children of farmers and non-farmers and whether there are differences in factors that cause drop out of the children of farmers and non-farmers. The analysis used in this research is by using descriptive analysis. This study was conducted from April to June 2017. This study used primary data and secondary data. Primary data was collected by direct interviews based on list of questions that have been prepared to the total respondents as many as 28 respondents. Method of sampling in this research use purposive sampling methods, they are children of farmer and not farmer with their parents. The results of this study indicate that the factors causing drop out of the children of farmers and non-farmers are: internal factors consisting of the will of the child itself and because children do not like school. External factors consisting of the economic condition of parents (unable to finance) and the social environment because affected with children who have dropped out of school first. At the parent level, both farmers and non-farmers, there is no difference in the reasons for dropping out. While at the level of children, both farmers and non-farmers children, there are different reasons for dropping out of school. Non-farmer children are because of internal factors: the willingness of children themselves while the child farmers are because of external factors are because the social environment.*eprm*","author":[{"dropping-particle":"","family":"Mua","given":"Vinny Briggita","non-dropping-particle":"","parse-names":false,"suffix":""},{"dropping-particle":"","family":"Manginsela","given":"Elsje Pauline","non-dropping-particle":"","parse-names":false,"suffix":""},{"dropping-particle":"","family":"Baroleh","given":"Jenny .","non-dropping-particle":"","parse-names":false,"suffix":""}],"container-title":"Agri-Sosioekonomi","id":"ITEM-1","issue":"3A","issued":{"date-parts":[["2017"]]},"page":"313-322","title":"Faktor-Faktor Penyebab Putus Sekolah Dari Anak Petani Dan Non-Petani Di Desa Sea Dan Desa Warembungan Kecamatan Pineleng Kabupaten Minahasa","type":"article-journal","volume":"13"},"uris":["http://www.mendeley.com/documents/?uuid=f44f206e-e627-4960-ab86-a8c8eb143f9d"]},{"id":"ITEM-2","itemData":{"URL":"https://www.idntimes.com/news/indonesia/helmi/angka-putus-sekolah-di-indonesia-yang-mengkhawatirkan/full","accessed":{"date-parts":[["2019","10","20"]]},"author":[{"dropping-particle":"","family":"Shemi","given":"H","non-dropping-particle":"","parse-names":false,"suffix":""}],"container-title":"idntimes","id":"ITEM-2","issued":{"date-parts":[["2019"]]},"title":"Angka Putus Sekolah di Indonesia yang Mengkhawatirkan","type":"webpage"},"uris":["http://www.mendeley.com/documents/?uuid=c9d0fc74-d558-4565-b5f1-5401d8260f47"]},{"id":"ITEM-3","itemData":{"DOI":"10.21831/jppm.v3i1.8061","ISSN":"2355-1615","abstract":"Penelitian ini bertujuan untuk mendeskripsikan tentang: (1) perhatian orang tua terhadap pentingnya pendidikan dalam hidup bermasyarakat. (2) tanggung jawab orang tua dalam menyediakan fasilitas pendidikan bagi anak. (3) orientasi nilai yang dijadikan dasar oleh orang tua dalam pendidikan anak. (4) faktor-faktor yang berpengaruh terhadap kepedulian orang tua dalam pendidikan anak untuk menyelesaikan wajib belajar 9 tahun. Penelitian ini menggunakan pendekatan kualitatif deskriptif. Teknik pengumpulan data melalui wawancara, observasi dan dokumentasi. Data yang diperoleh dianalisis dengan menggunakan analisis perbandingan tetap yaitu analisis domain, analisis taksonomi dan analisis tema, pengambilan kesimpulan dan verifikasi, sedangkan untuk mencapai kredibilitas data menggunakan ketekunan pengamatan dan triangulasi. Hasil penelitian adalah: (1) perhatian orang tua terhadap pendidikan anak sangat rendah, karena dipengaruhi oleh persepsi bahwa sekolah hanya untuk sekadar mengajarkan membaca, menulis dan berhitung. (2) orang tua tidak menyediakan fasilitas pendidikan di rumah sebagai penunjang proses belajar yang didapat di sekolah. (3) tingginya angka anak putus sekolah diakibatkan oleh nilai yang dianut oleh orang tua yang menganggap sekolah bukan jaminan untuk mendapatkan pekerjaan yang layak. (4) faktor-faktor yang berpengaruh terhadap kepedulian Orang tua adalah tidak merespon secara positif program wajib belajar 9 tahun, dan minat dan motivasi belajar anak yang justru bersumber dari lingkungan keluarga itu sendiri.Kata Kunci: kepedulian orang tua, pendidikan wajib belajar 9 tahun Parents' Attention to Children Education in Completeing 9 Year Compulsory EducationAbstractThis research is. The purpose of to describe about: (1) parental attention to the importance of education in social life. (2) the responsibility of parents to provide educational facilities for children. (3) the orientation value basis by parents in children's education. (4) factors that influence the awareness of parents in the education of children to complete nine years of compulsory education. This study employed descriptive qualitative approach. The technique of collecting data through interviews, observation and documentation. The data obtained were analyzed using comparative analysis remains the domain analysis, taxonomic analysis and theme analysis, deduction and verification, in order to achieve credibility observational data using persistence and triangulation. The results ar…","author":[{"dropping-particle":"","family":"Malik","given":"Halim K","non-dropping-particle":"","parse-names":false,"suffix":""},{"dropping-particle":"","family":"Sumarno","given":"Sumarno","non-dropping-particle":"","parse-names":false,"suffix":""}],"container-title":"Jurnal Pendidikan dan Pemberdayaan Masyarakat","id":"ITEM-3","issue":"1","issued":{"date-parts":[["2016"]]},"page":"38-47","title":"Kepedulian orang tua terhadap pendidikan anak untuk menyelesaikan program wajar 9 tahun","type":"article-journal","volume":"3"},"uris":["http://www.mendeley.com/documents/?uuid=9e88aca7-3bad-4ae3-9810-77c93d7e9967"]}],"mendeley":{"formattedCitation":"(Malik &amp; Sumarno, 2016; Mua et al., 2017; Shemi, 2019)","plainTextFormattedCitation":"(Malik &amp; Sumarno, 2016; Mua et al., 2017; Shemi, 2019)","previouslyFormattedCitation":"(Malik &amp; Sumarno, 2016; Mua et al., 2017; Shemi, 2019)"},"properties":{"noteIndex":0},"schema":"https://github.com/citation-style-language/schema/raw/master/csl-citation.json"}</w:instrText>
      </w:r>
      <w:r w:rsidR="006128CC" w:rsidRPr="0023051F">
        <w:rPr>
          <w:rFonts w:asciiTheme="majorBidi" w:hAnsiTheme="majorBidi" w:cstheme="majorBidi"/>
          <w:sz w:val="24"/>
          <w:szCs w:val="24"/>
          <w:lang w:val="en-GB"/>
        </w:rPr>
        <w:fldChar w:fldCharType="separate"/>
      </w:r>
      <w:r w:rsidRPr="0023051F">
        <w:rPr>
          <w:rFonts w:asciiTheme="majorBidi" w:hAnsiTheme="majorBidi" w:cstheme="majorBidi"/>
          <w:noProof/>
          <w:sz w:val="24"/>
          <w:szCs w:val="24"/>
          <w:lang w:val="en-GB"/>
        </w:rPr>
        <w:t xml:space="preserve">(Malik &amp; Sumarno, 2016; Mua et al., </w:t>
      </w:r>
      <w:proofErr w:type="gramStart"/>
      <w:r w:rsidRPr="0023051F">
        <w:rPr>
          <w:rFonts w:asciiTheme="majorBidi" w:hAnsiTheme="majorBidi" w:cstheme="majorBidi"/>
          <w:noProof/>
          <w:sz w:val="24"/>
          <w:szCs w:val="24"/>
          <w:lang w:val="en-GB"/>
        </w:rPr>
        <w:t>2017; Shemi, 2019)</w:t>
      </w:r>
      <w:r w:rsidR="006128CC" w:rsidRPr="0023051F">
        <w:rPr>
          <w:rFonts w:asciiTheme="majorBidi" w:hAnsiTheme="majorBidi" w:cstheme="majorBidi"/>
          <w:sz w:val="24"/>
          <w:szCs w:val="24"/>
          <w:lang w:val="en-GB"/>
        </w:rPr>
        <w:fldChar w:fldCharType="end"/>
      </w:r>
      <w:r w:rsidRPr="0023051F">
        <w:rPr>
          <w:rFonts w:asciiTheme="majorBidi" w:hAnsiTheme="majorBidi" w:cstheme="majorBidi"/>
          <w:sz w:val="24"/>
          <w:szCs w:val="24"/>
          <w:lang w:val="en-GB"/>
        </w:rPr>
        <w:t>.</w:t>
      </w:r>
      <w:proofErr w:type="gramEnd"/>
      <w:r w:rsidRPr="0023051F">
        <w:rPr>
          <w:rFonts w:asciiTheme="majorBidi" w:hAnsiTheme="majorBidi" w:cstheme="majorBidi"/>
          <w:sz w:val="24"/>
          <w:szCs w:val="24"/>
          <w:lang w:val="en-GB"/>
        </w:rPr>
        <w:t xml:space="preserve"> </w:t>
      </w:r>
      <w:r w:rsidRPr="0023051F">
        <w:rPr>
          <w:rFonts w:asciiTheme="majorBidi" w:hAnsiTheme="majorBidi" w:cstheme="majorBidi"/>
          <w:sz w:val="24"/>
          <w:szCs w:val="24"/>
        </w:rPr>
        <w:t>Selain itu program wajib belajar 12 tahun sampai hari ini masih wacana, retorika yang masih belum mendapatkan  perhatian serius dari pemerintah sehingga belum maksimal</w:t>
      </w:r>
      <w:r w:rsidRPr="0023051F">
        <w:rPr>
          <w:rFonts w:asciiTheme="majorBidi" w:hAnsiTheme="majorBidi" w:cstheme="majorBidi"/>
          <w:sz w:val="24"/>
          <w:szCs w:val="24"/>
          <w:lang w:val="en-GB"/>
        </w:rPr>
        <w:t xml:space="preserve"> </w:t>
      </w:r>
      <w:r w:rsidR="006128CC" w:rsidRPr="0023051F">
        <w:rPr>
          <w:rFonts w:asciiTheme="majorBidi" w:hAnsiTheme="majorBidi" w:cstheme="majorBidi"/>
          <w:sz w:val="24"/>
          <w:szCs w:val="24"/>
          <w:lang w:val="en-GB"/>
        </w:rPr>
        <w:fldChar w:fldCharType="begin" w:fldLock="1"/>
      </w:r>
      <w:r w:rsidRPr="0023051F">
        <w:rPr>
          <w:rFonts w:asciiTheme="majorBidi" w:hAnsiTheme="majorBidi" w:cstheme="majorBidi"/>
          <w:sz w:val="24"/>
          <w:szCs w:val="24"/>
          <w:lang w:val="en-GB"/>
        </w:rPr>
        <w:instrText>ADDIN CSL_CITATION {"citationItems":[{"id":"ITEM-1","itemData":{"URL":"https://www.merdeka.com/peristiwa/mendikbud-akui-wajib-belajar-12-tahun-belum-maksimal.html","accessed":{"date-parts":[["2019","10","23"]]},"author":[{"dropping-particle":"","family":"Prastiwi","given":"Devira","non-dropping-particle":"","parse-names":false,"suffix":""}],"container-title":"Merdeka","id":"ITEM-1","issued":{"date-parts":[["2019"]]},"title":"Mendikbud Akui Wajib Belajar 12 Tahun Belum Maksimal","type":"webpage"},"uris":["http://www.mendeley.com/documents/?uuid=e3ec8ce3-3be1-453a-9bd0-55e0eb4c893f"]}],"mendeley":{"formattedCitation":"(Prastiwi, 2019)","plainTextFormattedCitation":"(Prastiwi, 2019)","previouslyFormattedCitation":"(Prastiwi, 2019)"},"properties":{"noteIndex":0},"schema":"https://github.com/citation-style-language/schema/raw/master/csl-citation.json"}</w:instrText>
      </w:r>
      <w:r w:rsidR="006128CC" w:rsidRPr="0023051F">
        <w:rPr>
          <w:rFonts w:asciiTheme="majorBidi" w:hAnsiTheme="majorBidi" w:cstheme="majorBidi"/>
          <w:sz w:val="24"/>
          <w:szCs w:val="24"/>
          <w:lang w:val="en-GB"/>
        </w:rPr>
        <w:fldChar w:fldCharType="separate"/>
      </w:r>
      <w:r w:rsidRPr="0023051F">
        <w:rPr>
          <w:rFonts w:asciiTheme="majorBidi" w:hAnsiTheme="majorBidi" w:cstheme="majorBidi"/>
          <w:noProof/>
          <w:sz w:val="24"/>
          <w:szCs w:val="24"/>
          <w:lang w:val="en-GB"/>
        </w:rPr>
        <w:t>(Prastiwi, 2019)</w:t>
      </w:r>
      <w:r w:rsidR="006128CC" w:rsidRPr="0023051F">
        <w:rPr>
          <w:rFonts w:asciiTheme="majorBidi" w:hAnsiTheme="majorBidi" w:cstheme="majorBidi"/>
          <w:sz w:val="24"/>
          <w:szCs w:val="24"/>
          <w:lang w:val="en-GB"/>
        </w:rPr>
        <w:fldChar w:fldCharType="end"/>
      </w:r>
      <w:r w:rsidRPr="0023051F">
        <w:rPr>
          <w:rFonts w:asciiTheme="majorBidi" w:hAnsiTheme="majorBidi" w:cstheme="majorBidi"/>
          <w:sz w:val="24"/>
          <w:szCs w:val="24"/>
          <w:lang w:val="en-GB"/>
        </w:rPr>
        <w:t xml:space="preserve">. </w:t>
      </w:r>
      <w:r w:rsidRPr="0023051F">
        <w:rPr>
          <w:rFonts w:asciiTheme="majorBidi" w:hAnsiTheme="majorBidi" w:cstheme="majorBidi"/>
          <w:sz w:val="24"/>
          <w:szCs w:val="24"/>
        </w:rPr>
        <w:t xml:space="preserve">Padahal wajib belajar 12 tahun merupakan salah satu target yang tercantum dalam Nawacita.  Studi yang dilakukan JPPI menemukan bahwa 20 kabupaten atau kota yang dipilih secara acak belum ada yang memasukkan wajib belajar 12 tahun kedalam APBD </w:t>
      </w:r>
      <w:r w:rsidR="006128CC" w:rsidRPr="0023051F">
        <w:rPr>
          <w:rFonts w:asciiTheme="majorBidi" w:hAnsiTheme="majorBidi" w:cstheme="majorBidi"/>
          <w:sz w:val="24"/>
          <w:szCs w:val="24"/>
          <w:lang w:val="en-GB"/>
        </w:rPr>
        <w:fldChar w:fldCharType="begin" w:fldLock="1"/>
      </w:r>
      <w:r w:rsidRPr="0023051F">
        <w:rPr>
          <w:rFonts w:asciiTheme="majorBidi" w:hAnsiTheme="majorBidi" w:cstheme="majorBidi"/>
          <w:sz w:val="24"/>
          <w:szCs w:val="24"/>
        </w:rPr>
        <w:instrText>ADDIN CSL_CITATION {"citationItems":[{"id":"ITEM-1","itemData":{"URL":"https://news.detik.com/berita/d-3460243/jppi-wajib-belajar-12-tahun-masih-sebatas-retrorika","accessed":{"date-parts":[["2019","10","21"]]},"author":[{"dropping-particle":"","family":"Rahayu","given":"C. M","non-dropping-particle":"","parse-names":false,"suffix":""}],"id":"ITEM-1","issued":{"date-parts":[["2017"]]},"title":"JPPI: Wajib Belajar 12 Tahun Masih Sebatas Retrorika","type":"webpage"},"uris":["http://www.mendeley.com/documents/?uuid=c220226b-047d-4392-88e6-126ba07f8531"]}],"mendeley":{"formattedCitation":"(Rahayu, 2017)","plainTextFormattedCitation":"(Rahayu, 2017)","previouslyFormattedCitation":"(Rahayu, 2017)"},"properties":{"noteIndex":0},"schema":"https://github.com/citation-style-language/schema/raw/master/csl-citation.json"}</w:instrText>
      </w:r>
      <w:r w:rsidR="006128CC" w:rsidRPr="0023051F">
        <w:rPr>
          <w:rFonts w:asciiTheme="majorBidi" w:hAnsiTheme="majorBidi" w:cstheme="majorBidi"/>
          <w:sz w:val="24"/>
          <w:szCs w:val="24"/>
          <w:lang w:val="en-GB"/>
        </w:rPr>
        <w:fldChar w:fldCharType="separate"/>
      </w:r>
      <w:r w:rsidRPr="0023051F">
        <w:rPr>
          <w:rFonts w:asciiTheme="majorBidi" w:hAnsiTheme="majorBidi" w:cstheme="majorBidi"/>
          <w:noProof/>
          <w:sz w:val="24"/>
          <w:szCs w:val="24"/>
        </w:rPr>
        <w:t>(Rahayu, 2017)</w:t>
      </w:r>
      <w:r w:rsidR="006128CC" w:rsidRPr="0023051F">
        <w:rPr>
          <w:rFonts w:asciiTheme="majorBidi" w:hAnsiTheme="majorBidi" w:cstheme="majorBidi"/>
          <w:sz w:val="24"/>
          <w:szCs w:val="24"/>
          <w:lang w:val="en-GB"/>
        </w:rPr>
        <w:fldChar w:fldCharType="end"/>
      </w:r>
      <w:r w:rsidRPr="0023051F">
        <w:rPr>
          <w:rFonts w:asciiTheme="majorBidi" w:hAnsiTheme="majorBidi" w:cstheme="majorBidi"/>
          <w:sz w:val="24"/>
          <w:szCs w:val="24"/>
        </w:rPr>
        <w:t>.</w:t>
      </w:r>
    </w:p>
    <w:p w:rsidR="0023051F" w:rsidRPr="0023051F" w:rsidRDefault="0023051F" w:rsidP="00A90924">
      <w:pPr>
        <w:jc w:val="both"/>
        <w:rPr>
          <w:rFonts w:asciiTheme="majorBidi" w:hAnsiTheme="majorBidi" w:cstheme="majorBidi"/>
          <w:sz w:val="24"/>
          <w:szCs w:val="24"/>
          <w:lang w:val="en-GB"/>
        </w:rPr>
      </w:pPr>
      <w:r w:rsidRPr="0023051F">
        <w:rPr>
          <w:rFonts w:asciiTheme="majorBidi" w:hAnsiTheme="majorBidi" w:cstheme="majorBidi"/>
          <w:sz w:val="24"/>
          <w:szCs w:val="24"/>
        </w:rPr>
        <w:tab/>
        <w:t xml:space="preserve">Adapun angka partisipasi pendidikan untuk usia 19-24 tahu atau jenjang Perguruan Tinggi (PT) masih rendah jika dibandingkan dengan usia dan jenjang yang lain (7-12, 13-5 tahun dan SD/MI, AMP/MTs) </w:t>
      </w:r>
      <w:r w:rsidR="006128CC" w:rsidRPr="0023051F">
        <w:rPr>
          <w:rFonts w:asciiTheme="majorBidi" w:hAnsiTheme="majorBidi" w:cstheme="majorBidi"/>
          <w:sz w:val="24"/>
          <w:szCs w:val="24"/>
          <w:lang w:val="en-GB"/>
        </w:rPr>
        <w:fldChar w:fldCharType="begin" w:fldLock="1"/>
      </w:r>
      <w:r w:rsidRPr="0023051F">
        <w:rPr>
          <w:rFonts w:asciiTheme="majorBidi" w:hAnsiTheme="majorBidi" w:cstheme="majorBidi"/>
          <w:sz w:val="24"/>
          <w:szCs w:val="24"/>
        </w:rPr>
        <w:instrText>ADDIN CSL_CITATION {"citationItems":[{"id":"ITEM-1","itemData":{"DOI":"10.19184/jpe.v12i2.8553","author":[{"dropping-particle":"","family":"Istiqomah","given":"Anny","non-dropping-particle":"","parse-names":false,"suffix":""},{"dropping-particle":"","family":"Sukidin","given":"","non-dropping-particle":"","parse-names":false,"suffix":""},{"dropping-particle":"","family":"Suharso","given":"Pudjo","non-dropping-particle":"","parse-names":false,"suffix":""}],"id":"ITEM-1","issue":"2","issued":{"date-parts":[["2018"]]},"page":"227-235","title":"ANALISIS PARTISISPASI PENDIDIKAN PADA MASYARAKAT MISKIN DUSUN GUMUK LIMO DESA NOGOSARI KECAMATAN RAMBIPUJI KABUPATEN JEMBER","type":"article-journal","volume":"12"},"uris":["http://www.mendeley.com/documents/?uuid=f2938605-eb50-4433-b25a-dd170e5f69de"]}],"mendeley":{"formattedCitation":"(Istiqomah, Sukidin, &amp; Suharso, 2018)","plainTextFormattedCitation":"(Istiqomah, Sukidin, &amp; Suharso, 2018)","previouslyFormattedCitation":"(Istiqomah, Sukidin, &amp; Suharso, 2018)"},"properties":{"noteIndex":0},"schema":"https://github.com/citation-style-language/schema/raw/master/csl-citation.json"}</w:instrText>
      </w:r>
      <w:r w:rsidR="006128CC" w:rsidRPr="0023051F">
        <w:rPr>
          <w:rFonts w:asciiTheme="majorBidi" w:hAnsiTheme="majorBidi" w:cstheme="majorBidi"/>
          <w:sz w:val="24"/>
          <w:szCs w:val="24"/>
          <w:lang w:val="en-GB"/>
        </w:rPr>
        <w:fldChar w:fldCharType="separate"/>
      </w:r>
      <w:r w:rsidRPr="0023051F">
        <w:rPr>
          <w:rFonts w:asciiTheme="majorBidi" w:hAnsiTheme="majorBidi" w:cstheme="majorBidi"/>
          <w:noProof/>
          <w:sz w:val="24"/>
          <w:szCs w:val="24"/>
        </w:rPr>
        <w:t>(Istiqomah, Sukidin, &amp; Suharso, 2018)</w:t>
      </w:r>
      <w:r w:rsidR="006128CC" w:rsidRPr="0023051F">
        <w:rPr>
          <w:rFonts w:asciiTheme="majorBidi" w:hAnsiTheme="majorBidi" w:cstheme="majorBidi"/>
          <w:sz w:val="24"/>
          <w:szCs w:val="24"/>
          <w:lang w:val="en-GB"/>
        </w:rPr>
        <w:fldChar w:fldCharType="end"/>
      </w:r>
      <w:r w:rsidRPr="0023051F">
        <w:rPr>
          <w:rFonts w:asciiTheme="majorBidi" w:hAnsiTheme="majorBidi" w:cstheme="majorBidi"/>
          <w:sz w:val="24"/>
          <w:szCs w:val="24"/>
        </w:rPr>
        <w:t xml:space="preserve">. Pada Tabel 1, Tabel 2 dan Tabel 3 menunjukan bahwa nilai rata-rata APS sebesar 15,02%. nilai rata-rata APK sebesar 15,03% dan nilai rata-rata APM sebesar 11,33%.  Selama periode 1994-2018 angka </w:t>
      </w:r>
      <w:r w:rsidRPr="0023051F">
        <w:rPr>
          <w:rFonts w:asciiTheme="majorBidi" w:hAnsiTheme="majorBidi" w:cstheme="majorBidi"/>
          <w:sz w:val="24"/>
          <w:szCs w:val="24"/>
        </w:rPr>
        <w:lastRenderedPageBreak/>
        <w:t xml:space="preserve">partisipasi pendidikan Perguruan Tinggi (PT) berdasarkan APS hanya sebesar 13,29%, APK meningkat sebesar 16,21% dan APM meningkat sebesar 13,03%. Tingkat partisipasi pendidikan jenjang Perguruan Tinggi terendah terjadi pada tahun 2006 dengan APS sebesar 11,38% sedangkan tertinggi pada tahun 2017 dengan APS sebesar 24,67%. Meskipun secara keseluruhan terjadi peningkatan angka partisipasi pendidikan jenjang Perguruan Tinggi, namun secara keseluruhan masih rendah jika dibandingkan dengan jenjang pendidikan yang lain. Hal ni terjadi karena beberapa faktor seperti faktor ekonomi yaitu terbentur biaya pendidikan untuk melanjutkan ke Perguruan Tinggi masih sangat mahal, faktor tingkat pendidikan orang tua, faktor lingkungan seperti teman sebaya,  faktor motivasi belajar dan minat melanjutkan pendidikan </w:t>
      </w:r>
      <w:r w:rsidR="006128CC" w:rsidRPr="0023051F">
        <w:rPr>
          <w:rFonts w:asciiTheme="majorBidi" w:hAnsiTheme="majorBidi" w:cstheme="majorBidi"/>
          <w:sz w:val="24"/>
          <w:szCs w:val="24"/>
          <w:lang w:val="en-GB"/>
        </w:rPr>
        <w:fldChar w:fldCharType="begin" w:fldLock="1"/>
      </w:r>
      <w:r w:rsidRPr="0023051F">
        <w:rPr>
          <w:rFonts w:asciiTheme="majorBidi" w:hAnsiTheme="majorBidi" w:cstheme="majorBidi"/>
          <w:sz w:val="24"/>
          <w:szCs w:val="24"/>
        </w:rPr>
        <w:instrText>ADDIN CSL_CITATION {"citationItems":[{"id":"ITEM-1","itemData":{"ISSN":"2337-683X","abstract":"ABSTRAK Tujuan dari penelitian ini adalah untuk mengetahui: (1) ada tidaknya pengaruh prestasi belajar terhadap minat siswa untuk melanjutkan studi ke perguruan tinggi, (2)ada tidaknya pengaruh status sosial ekonomi orang tua terhadap minat siswa untuk melanjutkan studi ke perguruan tinggi, (3)ada tidaknya pengaruh prestasi belajar dan status sosial ekonomi orang tua secara bersama-sama terhadap minat siswa untuk melanjutkan studi ke perguruan tinggi. Populasi dalam penelitian ini sejumlah 180 siswa, dengan taraf kesalahan 5% yang dikembangkan oleh Isaac dan Michael maka jumlah sampel yang digunakan adalah 119 siswa. Metode pengumpulan data yang digunakan adalah metode observasi, dokumentasi dan kuesioner. Sedangkan metode analisis data untuk mengetahui variabel bebas terhadap variabel terikat dilakukan analisis regresi ganda dan pengujian hipotesis menggunakan uji t dan uji F. Berdasarkan analisis kuantitatif menunjukkan bahwa: (1) variabel prestasi belajar memberikan pengaruh yang positif dan signifikan terhadap minat siswa untuk melanjutkan studi ke perguruan tinggi sebesar 27,50%, t hitung 6,621;</w:instrText>
      </w:r>
      <w:r w:rsidRPr="0023051F">
        <w:rPr>
          <w:rFonts w:asciiTheme="majorBidi" w:hAnsiTheme="majorBidi" w:cstheme="majorBidi"/>
          <w:sz w:val="24"/>
          <w:szCs w:val="24"/>
          <w:lang w:val="en-GB"/>
        </w:rPr>
        <w:instrText>sig. 0,000 &lt; 0,05, (2) variabel status sosial ekonomi orang tua memberikan pengaruh yang positif dan signifikan terhadap minat siswa untuk melanjutkan studi ke perguruan tinggi sebesar 8,30%, t hitung 3,238;sig. 0,002 &lt; 0,05. (3) variabel prestasi belajar dan status sosial ekonomi orang tua secara bersama-sama memberikan pengaruh yang positif dan signifikan terhadap minat siswa untuk melanjutkan studi ke perguruan tinggi sebesar 35,30%, F hitung 31,675; sig.0,000 &lt; 0,05. A. PENDAHULUAN Pendidikan berperan penting dalam pembangunan masyarakat suatu bangsa, karena pendidikan merupakan dasar bagi pelaksanaan pembangunan. Tingkat pendidikan yang berhasil dicapai oleh seseorang akan berpengaruh terhadap kehidupan bermasyarakat. Pada umumnya masyarakat akan lebih menghormati dan meneladani seseorang yang pendidikannya tinggi dibandingkan dengan mereka yang tidak berpendidikan. Menurut Slameto","author":[{"dropping-particle":"","family":"Arumsari","given":"Tantri","non-dropping-particle":"","parse-names":false,"suffix":""}],"container-title":"Oikonomia: Jurnal Pendidikan Ekonomi","id":"ITEM-1","issue":"3","issued":{"date-parts":[["2013"]]},"page":"169-174","title":"Pengaruh Prestasi Belajar Dan Status Sosial Ekonomi Orang Tua Terhadap Minat Siswa Untuk Melanjutkan Studi Ke Perguruan Tinggi","type":"article-journal","volume":"2"},"uris":["http://www.mendeley.com/documents/?uuid=bade460f-802d-4ab1-b44d-b17913958fbd"]},{"id":"ITEM-2","itemData":{"abstract":"This study aimed to find out the effects of the socio-economic status and the peer environment both partially and simultaneously on the interest in continuing the study in higher education among students of SMA N 1 Bayat. This was an ex post fracto study using the quantitative approach. The research population comprised the student of Grades X and XI of SMA N 1 Bayat in the 2016/2017 academic year. The sample in the study was selected by mean of the random sampling technique with a total of 120 respondents. The data were collected by a questionare and documentation. The data analys technique was multiple regresion analysis. The result of the study showed that: (1) there no significant positive effect of the soscio-economic status on the interest in continuing the study in higher education among students of SMA N 1 Bayat; (2) there was a significant positive effect of the peer environtment status on the interest in continuing the study in higher education among students of SMA N 1 Bayat; (3) there was a significants effect of the socio-economic status and the peer environment simultaneously on the interest in continuing the study in higher education among students of SMA N 1 Bayat. Keywords: sosio-economics status, peer, continuing the study","author":[{"dropping-particle":"","family":"Darmawan","given":"I","non-dropping-particle":"","parse-names":false,"suffix":""}],"container-title":"Jurnal Pendidikan dan Ekonomi","id":"ITEM-2","issue":"2","issued":{"date-parts":[["2017"]]},"page":"156-165","title":"Pengaruh Status Sosial Ekonomi Dan Lingkungan Teman Sebaya Terhadap Minat Melanjutkan Studi Ke Perguruan Tinggi Pada Siswa","type":"article-journal","volume":"6"},"uris":["http://www.mendeley.com/documents/?uuid=5e3e7e19-da5a-40df-84ae-76de9c4e8aa5"]},{"id":"ITEM-3","itemData":{"ISSN":"2252-6544","abstract":"The purpose of this research is to determine the level of positive influence between motivation, academic achievement, socio economic status of parents and school environment on interest in continuing education to the college of 12th Accounting Students at Vocational High School 1 of Kendal. Populations that used in this research is students at Vocational High School 1 of Kendal specially 12th accounting students (105 students). Lottery and proportional random sampling method is used to take the sample, which has total 84 students. Methods of the data collection is documentation and questionnaire. Methods of data analysis is descriptive dan hypothesis testing using multiple linier regression analysis. The result of experiment show that motivation, academic achievement, socio economic status of parents and school environment has 91,7 % affect the interest in continuing education to the college simultaneously. Motivation has 8,07% affect the interest in continuing education to the college partially, academic achievement has 39,56% affect the interest in continuing education to the college partially, socio economic status of parents has 21,53% affect the interest in continuing education to the college partially and school environment has 25,50% affect the interest in continuing education to the college partially.","author":[{"dropping-particle":"","family":"Fitriani","given":"Khoerunisa","non-dropping-particle":"","parse-names":false,"suffix":""}],"container-title":"Economic Education Analysis Journal","id":"ITEM-3","issue":"1","issued":{"date-parts":[["2014"]]},"page":"152-159","title":"Pengaruh Motivasi, Prestasi Belajar, Status Sosial Ekonomi Orang Tua Dan Lingkungan Sekolah Terhadap Minat Melanjutkan Pendidikan Ke Perguruan Tinggi Pada Siswa Kelas Xii Akuntansi Smk Negeri 1 Kendal","type":"article-journal","volume":"3"},"uris":["http://www.mendeley.com/documents/?uuid=f098b6e9-0b60-4d44-9459-f9211b2eb80e"]},{"id":"ITEM-4","itemData":{"author":[{"dropping-particle":"","family":"Rini","given":"Esti Setya","non-dropping-particle":"","parse-names":false,"suffix":""}],"id":"ITEM-4","issued":{"date-parts":[["2012"]]},"number-of-pages":"1-82","publisher":"Universitas Negeri Yogyakarta","title":"HUBUNGAN TINGKAT PENDIDIKAN ORANG TUA DAN PRESTASI BELAJAR SISWA DENGAN MINAT SISWA MELANJUTKAN STUDI KE PERGURUAN TINGGI PADA SISWA KELAS XI SMA NEGERI 1 KALASAN TAHUN AJARAN 2011/2012","type":"thesis"},"uris":["http://www.mendeley.com/documents/?uuid=9eaa7841-7205-49e1-acdc-70cc8fe91178"]},{"id":"ITEM-5","itemData":{"DOI":"10.21009/jpeb.003.1.1","ISSN":"2302-2663","abstract":"Penelitian ini bertujuan untuk mendeskripsikan status sosial ekonomi orang tua, motivasi belajar, minat melanjutkan studi ke perguruan tinggi dan menguji pengaruh status sosial ekonomi orang tua dan motivasi belajar terhadap minat melanjutkan studi ke perguruan tinggi pada siswa kelas XI di SMA Pusaka 1 Jakarta. Metode penelitian yang digunakan dalam penelitian ini adalah metode ex-post facto. Sedangkan metode analisis data menggunakan analisis jalur (path analysis). Hasil analisis jalur menunjukan bahwa: (1) pengaruh langsung antara status sosial ekonomi orang tua terhadap minat melanjutkan studi ke perguruan tinggi sebesr 22,2% ; (2) pengaruh langsung antara motivasi belajar terhadap minat melanjutkan studi ke perguruan tinggi sebesar 14,1%, dan (3) pengaruh tidak langsung antara status sosial ekonomi orang tua terhadap minat melanjukan studi ke perguruan tinggi yang dimoderatori oleh motivasi belajar sebesar 18,1%.","author":[{"dropping-particle":"","family":"Suciningrum","given":"Nike Pratiwi","non-dropping-particle":"","parse-names":false,"suffix":""},{"dropping-particle":"","family":"Rahayu","given":"Endang Sri","non-dropping-particle":"","parse-names":false,"suffix":""}],"container-title":"Jurnal Pendidikan Ekonomi dan Bisnis (JPEB)","id":"ITEM-5","issue":"1","issued":{"date-parts":[["2015"]]},"page":"1-21","title":"Pengaruh Status Sosial Ekonomi Orang Tua Dan Motivasi Belajar Tehadap Minat Melanjutkan Studi Ke Perguruan Tinggi Pada Kelas Xi Di Sma Pusaka 1 Jakarta","type":"article-journal","volume":"3"},"uris":["http://www.mendeley.com/documents/?uuid=fdc1834a-bddd-466b-839f-7201ba46b1b7"]}],"mendeley":{"formattedCitation":"(Arumsari, 2013; Darmawan, 2017; Fitriani, 2014; Rini, 2012; Suciningrum &amp; Rahayu, 2015)","plainTextFormattedCitation":"(Arumsari, 2013; Darmawan, 2017; Fitriani, 2014; Rini, 2012; Suciningrum &amp; Rahayu, 2015)","previouslyFormattedCitation":"(Arumsari, 2013; Darmawan, 2017; Fitriani, 2014; Rini, 2012; Suciningrum &amp; Rahayu, 2015)"},"properties":{"noteIndex":0},"schema":"https://github.com/citation-style-language/schema/raw/master/csl-citation.json"}</w:instrText>
      </w:r>
      <w:r w:rsidR="006128CC" w:rsidRPr="0023051F">
        <w:rPr>
          <w:rFonts w:asciiTheme="majorBidi" w:hAnsiTheme="majorBidi" w:cstheme="majorBidi"/>
          <w:sz w:val="24"/>
          <w:szCs w:val="24"/>
          <w:lang w:val="en-GB"/>
        </w:rPr>
        <w:fldChar w:fldCharType="separate"/>
      </w:r>
      <w:r w:rsidRPr="0023051F">
        <w:rPr>
          <w:rFonts w:asciiTheme="majorBidi" w:hAnsiTheme="majorBidi" w:cstheme="majorBidi"/>
          <w:noProof/>
          <w:sz w:val="24"/>
          <w:szCs w:val="24"/>
          <w:lang w:val="en-GB"/>
        </w:rPr>
        <w:t>(Arumsari, 2013; Darmawan, 2017; Fitriani, 2014; Rini, 2012; Suciningrum &amp; Rahayu, 2015)</w:t>
      </w:r>
      <w:r w:rsidR="006128CC" w:rsidRPr="0023051F">
        <w:rPr>
          <w:rFonts w:asciiTheme="majorBidi" w:hAnsiTheme="majorBidi" w:cstheme="majorBidi"/>
          <w:sz w:val="24"/>
          <w:szCs w:val="24"/>
          <w:lang w:val="en-GB"/>
        </w:rPr>
        <w:fldChar w:fldCharType="end"/>
      </w:r>
      <w:r w:rsidRPr="0023051F">
        <w:rPr>
          <w:rFonts w:asciiTheme="majorBidi" w:hAnsiTheme="majorBidi" w:cstheme="majorBidi"/>
          <w:sz w:val="24"/>
          <w:szCs w:val="24"/>
          <w:lang w:val="en-GB"/>
        </w:rPr>
        <w:t>.</w:t>
      </w:r>
    </w:p>
    <w:p w:rsidR="0060513C" w:rsidRPr="005C128F" w:rsidRDefault="00A90924" w:rsidP="00100EF8">
      <w:pPr>
        <w:shd w:val="clear" w:color="auto" w:fill="FFFFFF"/>
        <w:spacing w:after="0" w:line="240" w:lineRule="auto"/>
        <w:jc w:val="both"/>
        <w:rPr>
          <w:rFonts w:ascii="Times New Roman" w:eastAsia="Times New Roman" w:hAnsi="Times New Roman" w:cs="Times New Roman"/>
          <w:color w:val="000000"/>
          <w:sz w:val="24"/>
          <w:szCs w:val="24"/>
          <w:lang w:val="en-US"/>
        </w:rPr>
      </w:pPr>
      <w:proofErr w:type="spellStart"/>
      <w:r>
        <w:rPr>
          <w:rFonts w:ascii="Times New Roman" w:hAnsi="Times New Roman" w:cs="Times New Roman"/>
          <w:b/>
          <w:color w:val="000000"/>
          <w:sz w:val="24"/>
          <w:szCs w:val="24"/>
          <w:lang w:val="en-US"/>
        </w:rPr>
        <w:t>Kesimpulan</w:t>
      </w:r>
      <w:proofErr w:type="spellEnd"/>
    </w:p>
    <w:p w:rsidR="00100EF8" w:rsidRPr="00100EF8" w:rsidRDefault="00A90924" w:rsidP="00100EF8">
      <w:pPr>
        <w:pStyle w:val="IEEEParagraph"/>
        <w:ind w:firstLine="0"/>
      </w:pPr>
      <w:r>
        <w:rPr>
          <w:lang w:val="en-GB"/>
        </w:rPr>
        <w:tab/>
      </w:r>
      <w:r w:rsidR="00100EF8" w:rsidRPr="00100EF8">
        <w:t>Berdasarkan hasil analisis data diatas dapat disimpulkan bahwa partisipasi pendidikan di Indonesia berdasarkan APS, APK dan APM trennya mengalami peningkatan. Berdasarkan nilai rata-rata Angka Partisipasi Sekolah (APS) menunjukan bahwa partisipasi pendidikan sangat tinggi, yaitu usia 7-12 tahun sebesar 96,92%, usia 13-15 tahun sebesar 84,31%, usia 16-18 tahun sebesar 56,23% dan usia 19-24 tahun sebesar 15,02%. Akantetapi semakin besar usia, tingkat partisipasi pendidikan semakin menurun. Aadapun partisipasi pendidikan berdasarkan nilai rata-rata Angka Partisipasi Kasar(APK) dan nilai rata-rata Angka Partisipasi Murni (APM) cukup tinggi untuk jenjang SMA/MA, sedangkan partisipasi pendidikan jenjang Perguruan Tinggi masih sangat kecil yaitu nilai rata-rata APK 15,03% dan nilai rata-rata APM 11,33%.</w:t>
      </w:r>
    </w:p>
    <w:p w:rsidR="0060513C" w:rsidRPr="00100EF8" w:rsidRDefault="0060513C" w:rsidP="007A586B">
      <w:pPr>
        <w:spacing w:after="0" w:line="276" w:lineRule="auto"/>
        <w:ind w:right="-5"/>
        <w:jc w:val="both"/>
        <w:rPr>
          <w:rFonts w:ascii="Times New Roman" w:hAnsi="Times New Roman" w:cs="Times New Roman"/>
          <w:sz w:val="24"/>
          <w:szCs w:val="24"/>
        </w:rPr>
      </w:pPr>
    </w:p>
    <w:p w:rsidR="00887F9A" w:rsidRPr="00A90924" w:rsidRDefault="00A90924" w:rsidP="00100EF8">
      <w:pPr>
        <w:pStyle w:val="NormalWeb"/>
        <w:shd w:val="clear" w:color="auto" w:fill="FFFFFF"/>
        <w:tabs>
          <w:tab w:val="left" w:pos="2250"/>
        </w:tabs>
        <w:spacing w:before="0" w:beforeAutospacing="0" w:after="0" w:afterAutospacing="0"/>
        <w:rPr>
          <w:lang w:val="en-GB"/>
        </w:rPr>
      </w:pPr>
      <w:r>
        <w:rPr>
          <w:b/>
          <w:lang w:val="en-GB"/>
        </w:rPr>
        <w:t>Saran</w:t>
      </w:r>
    </w:p>
    <w:p w:rsidR="00100EF8" w:rsidRPr="00100EF8" w:rsidRDefault="00A90924" w:rsidP="00100EF8">
      <w:pPr>
        <w:pStyle w:val="IEEEParagraph"/>
        <w:ind w:firstLine="0"/>
      </w:pPr>
      <w:r>
        <w:rPr>
          <w:lang w:val="en-GB"/>
        </w:rPr>
        <w:tab/>
      </w:r>
      <w:r w:rsidR="00100EF8" w:rsidRPr="00100EF8">
        <w:t xml:space="preserve">Ada beberapa solusi yang diajukan untuk meningkatkan partisipasi pendidikan: </w:t>
      </w:r>
      <w:r w:rsidR="00100EF8" w:rsidRPr="00100EF8">
        <w:rPr>
          <w:i/>
        </w:rPr>
        <w:t>Pertama</w:t>
      </w:r>
      <w:r w:rsidR="00100EF8" w:rsidRPr="00100EF8">
        <w:t xml:space="preserve">, melakukan pendataan anak putus sekolah sampai ditingkat desa/kampung melalui sekolah-sekolah bekerjasama dengan RT/RW agar data yang diperoleh akurat. </w:t>
      </w:r>
      <w:r w:rsidR="00100EF8" w:rsidRPr="00100EF8">
        <w:rPr>
          <w:i/>
        </w:rPr>
        <w:t>Kedua</w:t>
      </w:r>
      <w:r w:rsidR="00100EF8" w:rsidRPr="00100EF8">
        <w:t xml:space="preserve">, </w:t>
      </w:r>
      <w:r w:rsidR="00100EF8" w:rsidRPr="00100EF8">
        <w:rPr>
          <w:lang w:val="en-GB"/>
        </w:rPr>
        <w:t>s</w:t>
      </w:r>
      <w:r w:rsidR="00100EF8" w:rsidRPr="00100EF8">
        <w:t xml:space="preserve">osialisasi pentingnya melanjutkan pendidikan sampai ke perguruan tinggi di lingkungan wali murid dan siswa. </w:t>
      </w:r>
      <w:r w:rsidR="00100EF8" w:rsidRPr="00100EF8">
        <w:rPr>
          <w:i/>
        </w:rPr>
        <w:t>Ketiga</w:t>
      </w:r>
      <w:r w:rsidR="00100EF8" w:rsidRPr="00100EF8">
        <w:t xml:space="preserve">, memberikan bantuan pendidikan secara selektif dan obyektif agar tepat sasaran. </w:t>
      </w:r>
      <w:r w:rsidR="00100EF8" w:rsidRPr="00100EF8">
        <w:rPr>
          <w:i/>
        </w:rPr>
        <w:t>Keempat</w:t>
      </w:r>
      <w:r w:rsidR="00100EF8" w:rsidRPr="00100EF8">
        <w:t>, melakukan pengawasan kelembaga-lembaga pendidikan untuk mengantisipasi pungutan liar yang memberatkan masyarakat untuk melanjutkan pendidikan.</w:t>
      </w:r>
    </w:p>
    <w:p w:rsidR="0060513C" w:rsidRPr="00100EF8" w:rsidRDefault="0060513C" w:rsidP="007A586B">
      <w:pPr>
        <w:spacing w:after="0" w:line="276" w:lineRule="auto"/>
        <w:ind w:right="-5"/>
        <w:jc w:val="both"/>
        <w:rPr>
          <w:rFonts w:ascii="Times New Roman" w:hAnsi="Times New Roman" w:cs="Times New Roman"/>
          <w:sz w:val="24"/>
          <w:szCs w:val="24"/>
        </w:rPr>
      </w:pPr>
    </w:p>
    <w:p w:rsidR="00BA03BA" w:rsidRDefault="00A90924" w:rsidP="00100EF8">
      <w:pPr>
        <w:spacing w:after="0" w:line="276" w:lineRule="auto"/>
        <w:ind w:left="709" w:right="-5" w:hanging="709"/>
        <w:jc w:val="both"/>
        <w:rPr>
          <w:rFonts w:ascii="Times New Roman" w:hAnsi="Times New Roman" w:cs="Times New Roman"/>
          <w:sz w:val="24"/>
          <w:szCs w:val="24"/>
          <w:lang w:val="en-US"/>
        </w:rPr>
      </w:pPr>
      <w:proofErr w:type="spellStart"/>
      <w:r>
        <w:rPr>
          <w:rFonts w:ascii="Times New Roman" w:hAnsi="Times New Roman" w:cs="Times New Roman"/>
          <w:b/>
          <w:color w:val="000000"/>
          <w:sz w:val="24"/>
          <w:szCs w:val="24"/>
          <w:lang w:val="en-US"/>
        </w:rPr>
        <w:t>Daftar</w:t>
      </w:r>
      <w:proofErr w:type="spellEnd"/>
      <w:r>
        <w:rPr>
          <w:rFonts w:ascii="Times New Roman" w:hAnsi="Times New Roman" w:cs="Times New Roman"/>
          <w:b/>
          <w:color w:val="000000"/>
          <w:sz w:val="24"/>
          <w:szCs w:val="24"/>
          <w:lang w:val="en-US"/>
        </w:rPr>
        <w:t xml:space="preserve"> </w:t>
      </w:r>
      <w:proofErr w:type="spellStart"/>
      <w:r>
        <w:rPr>
          <w:rFonts w:ascii="Times New Roman" w:hAnsi="Times New Roman" w:cs="Times New Roman"/>
          <w:b/>
          <w:color w:val="000000"/>
          <w:sz w:val="24"/>
          <w:szCs w:val="24"/>
          <w:lang w:val="en-US"/>
        </w:rPr>
        <w:t>Refrensi</w:t>
      </w:r>
      <w:proofErr w:type="spellEnd"/>
    </w:p>
    <w:p w:rsidR="00100EF8" w:rsidRPr="00A90924" w:rsidRDefault="006128CC" w:rsidP="00100EF8">
      <w:pPr>
        <w:widowControl w:val="0"/>
        <w:autoSpaceDE w:val="0"/>
        <w:autoSpaceDN w:val="0"/>
        <w:adjustRightInd w:val="0"/>
        <w:ind w:left="480" w:hanging="480"/>
        <w:jc w:val="both"/>
        <w:rPr>
          <w:rFonts w:asciiTheme="majorBidi" w:hAnsiTheme="majorBidi" w:cstheme="majorBidi"/>
          <w:noProof/>
          <w:sz w:val="24"/>
          <w:szCs w:val="32"/>
        </w:rPr>
      </w:pPr>
      <w:r w:rsidRPr="00A90924">
        <w:rPr>
          <w:rFonts w:asciiTheme="majorBidi" w:hAnsiTheme="majorBidi" w:cstheme="majorBidi"/>
          <w:iCs/>
          <w:sz w:val="24"/>
          <w:szCs w:val="28"/>
          <w:lang w:val="en-GB"/>
        </w:rPr>
        <w:fldChar w:fldCharType="begin" w:fldLock="1"/>
      </w:r>
      <w:r w:rsidR="00100EF8" w:rsidRPr="00A90924">
        <w:rPr>
          <w:rFonts w:asciiTheme="majorBidi" w:hAnsiTheme="majorBidi" w:cstheme="majorBidi"/>
          <w:iCs/>
          <w:sz w:val="24"/>
          <w:szCs w:val="28"/>
          <w:lang w:val="en-GB"/>
        </w:rPr>
        <w:instrText xml:space="preserve">ADDIN Mendeley Bibliography CSL_BIBLIOGRAPHY </w:instrText>
      </w:r>
      <w:r w:rsidRPr="00A90924">
        <w:rPr>
          <w:rFonts w:asciiTheme="majorBidi" w:hAnsiTheme="majorBidi" w:cstheme="majorBidi"/>
          <w:iCs/>
          <w:sz w:val="24"/>
          <w:szCs w:val="28"/>
          <w:lang w:val="en-GB"/>
        </w:rPr>
        <w:fldChar w:fldCharType="separate"/>
      </w:r>
      <w:r w:rsidR="00100EF8" w:rsidRPr="00A90924">
        <w:rPr>
          <w:rFonts w:asciiTheme="majorBidi" w:hAnsiTheme="majorBidi" w:cstheme="majorBidi"/>
          <w:noProof/>
          <w:sz w:val="24"/>
          <w:szCs w:val="32"/>
        </w:rPr>
        <w:t xml:space="preserve">Ahmadi, A., &amp; Ubhiyati, N. (2007). </w:t>
      </w:r>
      <w:r w:rsidR="00100EF8" w:rsidRPr="00A90924">
        <w:rPr>
          <w:rFonts w:asciiTheme="majorBidi" w:hAnsiTheme="majorBidi" w:cstheme="majorBidi"/>
          <w:i/>
          <w:iCs/>
          <w:noProof/>
          <w:sz w:val="24"/>
          <w:szCs w:val="32"/>
        </w:rPr>
        <w:t>Ilmu Pendidikan</w:t>
      </w:r>
      <w:r w:rsidR="00100EF8" w:rsidRPr="00A90924">
        <w:rPr>
          <w:rFonts w:asciiTheme="majorBidi" w:hAnsiTheme="majorBidi" w:cstheme="majorBidi"/>
          <w:noProof/>
          <w:sz w:val="24"/>
          <w:szCs w:val="32"/>
        </w:rPr>
        <w:t>. Jakrta: Rineka Cipta.</w:t>
      </w:r>
    </w:p>
    <w:p w:rsidR="00100EF8" w:rsidRPr="00A90924" w:rsidRDefault="00100EF8" w:rsidP="00100EF8">
      <w:pPr>
        <w:widowControl w:val="0"/>
        <w:autoSpaceDE w:val="0"/>
        <w:autoSpaceDN w:val="0"/>
        <w:adjustRightInd w:val="0"/>
        <w:ind w:left="480" w:hanging="480"/>
        <w:jc w:val="both"/>
        <w:rPr>
          <w:rFonts w:asciiTheme="majorBidi" w:hAnsiTheme="majorBidi" w:cstheme="majorBidi"/>
          <w:noProof/>
          <w:sz w:val="24"/>
          <w:szCs w:val="32"/>
        </w:rPr>
      </w:pPr>
      <w:r w:rsidRPr="00A90924">
        <w:rPr>
          <w:rFonts w:asciiTheme="majorBidi" w:hAnsiTheme="majorBidi" w:cstheme="majorBidi"/>
          <w:noProof/>
          <w:sz w:val="24"/>
          <w:szCs w:val="32"/>
        </w:rPr>
        <w:t xml:space="preserve">Ali, M. (2009). </w:t>
      </w:r>
      <w:r w:rsidRPr="00A90924">
        <w:rPr>
          <w:rFonts w:asciiTheme="majorBidi" w:hAnsiTheme="majorBidi" w:cstheme="majorBidi"/>
          <w:i/>
          <w:iCs/>
          <w:noProof/>
          <w:sz w:val="24"/>
          <w:szCs w:val="32"/>
        </w:rPr>
        <w:t>Pendidikan untuk pembangunan nasional: menuju bangsa Indonesia yang mandiri dan berdaya saing tinggi</w:t>
      </w:r>
      <w:r w:rsidRPr="00A90924">
        <w:rPr>
          <w:rFonts w:asciiTheme="majorBidi" w:hAnsiTheme="majorBidi" w:cstheme="majorBidi"/>
          <w:noProof/>
          <w:sz w:val="24"/>
          <w:szCs w:val="32"/>
        </w:rPr>
        <w:t>. Grasindo.</w:t>
      </w:r>
    </w:p>
    <w:p w:rsidR="00100EF8" w:rsidRPr="00A90924" w:rsidRDefault="00100EF8" w:rsidP="00100EF8">
      <w:pPr>
        <w:widowControl w:val="0"/>
        <w:autoSpaceDE w:val="0"/>
        <w:autoSpaceDN w:val="0"/>
        <w:adjustRightInd w:val="0"/>
        <w:ind w:left="480" w:hanging="480"/>
        <w:jc w:val="both"/>
        <w:rPr>
          <w:rFonts w:asciiTheme="majorBidi" w:hAnsiTheme="majorBidi" w:cstheme="majorBidi"/>
          <w:noProof/>
          <w:sz w:val="24"/>
          <w:szCs w:val="32"/>
        </w:rPr>
      </w:pPr>
      <w:r w:rsidRPr="00A90924">
        <w:rPr>
          <w:rFonts w:asciiTheme="majorBidi" w:hAnsiTheme="majorBidi" w:cstheme="majorBidi"/>
          <w:noProof/>
          <w:sz w:val="24"/>
          <w:szCs w:val="32"/>
        </w:rPr>
        <w:t xml:space="preserve">Anwas, O. M. (2010). Model Posdaya Dalam Penuntasan Wajib Belajar Pendidikan Dasar 9 Tahun. </w:t>
      </w:r>
      <w:r w:rsidRPr="00A90924">
        <w:rPr>
          <w:rFonts w:asciiTheme="majorBidi" w:hAnsiTheme="majorBidi" w:cstheme="majorBidi"/>
          <w:i/>
          <w:iCs/>
          <w:noProof/>
          <w:sz w:val="24"/>
          <w:szCs w:val="32"/>
        </w:rPr>
        <w:t>Jurnal Pendidikan Dan Kebudayaan</w:t>
      </w:r>
      <w:r w:rsidRPr="00A90924">
        <w:rPr>
          <w:rFonts w:asciiTheme="majorBidi" w:hAnsiTheme="majorBidi" w:cstheme="majorBidi"/>
          <w:noProof/>
          <w:sz w:val="24"/>
          <w:szCs w:val="32"/>
        </w:rPr>
        <w:t xml:space="preserve">, </w:t>
      </w:r>
      <w:r w:rsidRPr="00A90924">
        <w:rPr>
          <w:rFonts w:asciiTheme="majorBidi" w:hAnsiTheme="majorBidi" w:cstheme="majorBidi"/>
          <w:i/>
          <w:iCs/>
          <w:noProof/>
          <w:sz w:val="24"/>
          <w:szCs w:val="32"/>
        </w:rPr>
        <w:t>16</w:t>
      </w:r>
      <w:r w:rsidRPr="00A90924">
        <w:rPr>
          <w:rFonts w:asciiTheme="majorBidi" w:hAnsiTheme="majorBidi" w:cstheme="majorBidi"/>
          <w:noProof/>
          <w:sz w:val="24"/>
          <w:szCs w:val="32"/>
        </w:rPr>
        <w:t>(2), 206–214. https://doi.org/10.24832/jpnk.v16i2.447</w:t>
      </w:r>
    </w:p>
    <w:p w:rsidR="00100EF8" w:rsidRPr="00A90924" w:rsidRDefault="00100EF8" w:rsidP="00100EF8">
      <w:pPr>
        <w:widowControl w:val="0"/>
        <w:autoSpaceDE w:val="0"/>
        <w:autoSpaceDN w:val="0"/>
        <w:adjustRightInd w:val="0"/>
        <w:ind w:left="480" w:hanging="480"/>
        <w:jc w:val="both"/>
        <w:rPr>
          <w:rFonts w:asciiTheme="majorBidi" w:hAnsiTheme="majorBidi" w:cstheme="majorBidi"/>
          <w:noProof/>
          <w:sz w:val="24"/>
          <w:szCs w:val="32"/>
        </w:rPr>
      </w:pPr>
      <w:r w:rsidRPr="00A90924">
        <w:rPr>
          <w:rFonts w:asciiTheme="majorBidi" w:hAnsiTheme="majorBidi" w:cstheme="majorBidi"/>
          <w:noProof/>
          <w:sz w:val="24"/>
          <w:szCs w:val="32"/>
        </w:rPr>
        <w:t xml:space="preserve">Arikunto, S. (2002). </w:t>
      </w:r>
      <w:r w:rsidRPr="00A90924">
        <w:rPr>
          <w:rFonts w:asciiTheme="majorBidi" w:hAnsiTheme="majorBidi" w:cstheme="majorBidi"/>
          <w:i/>
          <w:iCs/>
          <w:noProof/>
          <w:sz w:val="24"/>
          <w:szCs w:val="32"/>
        </w:rPr>
        <w:t>Prosedur suatu penelitian: pendekatan praktek. Edisi Revisi Kelima</w:t>
      </w:r>
      <w:r w:rsidRPr="00A90924">
        <w:rPr>
          <w:rFonts w:asciiTheme="majorBidi" w:hAnsiTheme="majorBidi" w:cstheme="majorBidi"/>
          <w:noProof/>
          <w:sz w:val="24"/>
          <w:szCs w:val="32"/>
        </w:rPr>
        <w:t>. Jakarta: Rineka Cipta.</w:t>
      </w:r>
    </w:p>
    <w:p w:rsidR="00100EF8" w:rsidRPr="00A90924" w:rsidRDefault="00100EF8" w:rsidP="00100EF8">
      <w:pPr>
        <w:widowControl w:val="0"/>
        <w:autoSpaceDE w:val="0"/>
        <w:autoSpaceDN w:val="0"/>
        <w:adjustRightInd w:val="0"/>
        <w:ind w:left="480" w:hanging="480"/>
        <w:jc w:val="both"/>
        <w:rPr>
          <w:rFonts w:asciiTheme="majorBidi" w:hAnsiTheme="majorBidi" w:cstheme="majorBidi"/>
          <w:noProof/>
          <w:sz w:val="24"/>
          <w:szCs w:val="32"/>
        </w:rPr>
      </w:pPr>
      <w:r w:rsidRPr="00A90924">
        <w:rPr>
          <w:rFonts w:asciiTheme="majorBidi" w:hAnsiTheme="majorBidi" w:cstheme="majorBidi"/>
          <w:noProof/>
          <w:sz w:val="24"/>
          <w:szCs w:val="32"/>
        </w:rPr>
        <w:t xml:space="preserve">Ariyani, S. N. Q. (2018). TREN ANGKA PUTUS SEKOLAH PENDIDIKAN SEKOLAH </w:t>
      </w:r>
      <w:r w:rsidRPr="00A90924">
        <w:rPr>
          <w:rFonts w:asciiTheme="majorBidi" w:hAnsiTheme="majorBidi" w:cstheme="majorBidi"/>
          <w:noProof/>
          <w:sz w:val="24"/>
          <w:szCs w:val="32"/>
        </w:rPr>
        <w:lastRenderedPageBreak/>
        <w:t xml:space="preserve">MENENGAH. </w:t>
      </w:r>
      <w:r w:rsidRPr="00A90924">
        <w:rPr>
          <w:rFonts w:asciiTheme="majorBidi" w:hAnsiTheme="majorBidi" w:cstheme="majorBidi"/>
          <w:i/>
          <w:iCs/>
          <w:noProof/>
          <w:sz w:val="24"/>
          <w:szCs w:val="32"/>
        </w:rPr>
        <w:t>Jurnal Kebijakan Pendidikan</w:t>
      </w:r>
      <w:r w:rsidRPr="00A90924">
        <w:rPr>
          <w:rFonts w:asciiTheme="majorBidi" w:hAnsiTheme="majorBidi" w:cstheme="majorBidi"/>
          <w:noProof/>
          <w:sz w:val="24"/>
          <w:szCs w:val="32"/>
        </w:rPr>
        <w:t xml:space="preserve">, </w:t>
      </w:r>
      <w:r w:rsidRPr="00A90924">
        <w:rPr>
          <w:rFonts w:asciiTheme="majorBidi" w:hAnsiTheme="majorBidi" w:cstheme="majorBidi"/>
          <w:i/>
          <w:iCs/>
          <w:noProof/>
          <w:sz w:val="24"/>
          <w:szCs w:val="32"/>
        </w:rPr>
        <w:t>7</w:t>
      </w:r>
      <w:r w:rsidRPr="00A90924">
        <w:rPr>
          <w:rFonts w:asciiTheme="majorBidi" w:hAnsiTheme="majorBidi" w:cstheme="majorBidi"/>
          <w:noProof/>
          <w:sz w:val="24"/>
          <w:szCs w:val="32"/>
        </w:rPr>
        <w:t>(4), 440–451. Retrieved from http://journal.student.uny.ac.id/ojs/index.php/sakp/article/view/13142</w:t>
      </w:r>
    </w:p>
    <w:p w:rsidR="00100EF8" w:rsidRPr="00A90924" w:rsidRDefault="00100EF8" w:rsidP="00100EF8">
      <w:pPr>
        <w:widowControl w:val="0"/>
        <w:autoSpaceDE w:val="0"/>
        <w:autoSpaceDN w:val="0"/>
        <w:adjustRightInd w:val="0"/>
        <w:ind w:left="480" w:hanging="480"/>
        <w:jc w:val="both"/>
        <w:rPr>
          <w:rFonts w:asciiTheme="majorBidi" w:hAnsiTheme="majorBidi" w:cstheme="majorBidi"/>
          <w:noProof/>
          <w:sz w:val="24"/>
          <w:szCs w:val="32"/>
        </w:rPr>
      </w:pPr>
      <w:r w:rsidRPr="00A90924">
        <w:rPr>
          <w:rFonts w:asciiTheme="majorBidi" w:hAnsiTheme="majorBidi" w:cstheme="majorBidi"/>
          <w:noProof/>
          <w:sz w:val="24"/>
          <w:szCs w:val="32"/>
        </w:rPr>
        <w:t xml:space="preserve">Arumsari, T. (2013). Pengaruh Prestasi Belajar Dan Status Sosial Ekonomi Orang Tua Terhadap Minat Siswa Untuk Melanjutkan Studi Ke Perguruan Tinggi. </w:t>
      </w:r>
      <w:r w:rsidRPr="00A90924">
        <w:rPr>
          <w:rFonts w:asciiTheme="majorBidi" w:hAnsiTheme="majorBidi" w:cstheme="majorBidi"/>
          <w:i/>
          <w:iCs/>
          <w:noProof/>
          <w:sz w:val="24"/>
          <w:szCs w:val="32"/>
        </w:rPr>
        <w:t>Oikonomia: Jurnal Pendidikan Ekonomi</w:t>
      </w:r>
      <w:r w:rsidRPr="00A90924">
        <w:rPr>
          <w:rFonts w:asciiTheme="majorBidi" w:hAnsiTheme="majorBidi" w:cstheme="majorBidi"/>
          <w:noProof/>
          <w:sz w:val="24"/>
          <w:szCs w:val="32"/>
        </w:rPr>
        <w:t xml:space="preserve">, </w:t>
      </w:r>
      <w:r w:rsidRPr="00A90924">
        <w:rPr>
          <w:rFonts w:asciiTheme="majorBidi" w:hAnsiTheme="majorBidi" w:cstheme="majorBidi"/>
          <w:i/>
          <w:iCs/>
          <w:noProof/>
          <w:sz w:val="24"/>
          <w:szCs w:val="32"/>
        </w:rPr>
        <w:t>2</w:t>
      </w:r>
      <w:r w:rsidRPr="00A90924">
        <w:rPr>
          <w:rFonts w:asciiTheme="majorBidi" w:hAnsiTheme="majorBidi" w:cstheme="majorBidi"/>
          <w:noProof/>
          <w:sz w:val="24"/>
          <w:szCs w:val="32"/>
        </w:rPr>
        <w:t>(3), 169–174.</w:t>
      </w:r>
    </w:p>
    <w:p w:rsidR="00100EF8" w:rsidRPr="00A90924" w:rsidRDefault="00100EF8" w:rsidP="00100EF8">
      <w:pPr>
        <w:widowControl w:val="0"/>
        <w:autoSpaceDE w:val="0"/>
        <w:autoSpaceDN w:val="0"/>
        <w:adjustRightInd w:val="0"/>
        <w:ind w:left="480" w:hanging="480"/>
        <w:jc w:val="both"/>
        <w:rPr>
          <w:rFonts w:asciiTheme="majorBidi" w:hAnsiTheme="majorBidi" w:cstheme="majorBidi"/>
          <w:noProof/>
          <w:sz w:val="24"/>
          <w:szCs w:val="32"/>
        </w:rPr>
      </w:pPr>
      <w:r w:rsidRPr="00A90924">
        <w:rPr>
          <w:rFonts w:asciiTheme="majorBidi" w:hAnsiTheme="majorBidi" w:cstheme="majorBidi"/>
          <w:noProof/>
          <w:sz w:val="24"/>
          <w:szCs w:val="32"/>
        </w:rPr>
        <w:t xml:space="preserve">Berlian VA, N. (2011). Faktor-faktor yang Terkait dengan Rendahnya Pencapaian Wajib Belajar Pendidikan Dasar 9 Tahun. </w:t>
      </w:r>
      <w:r w:rsidRPr="00A90924">
        <w:rPr>
          <w:rFonts w:asciiTheme="majorBidi" w:hAnsiTheme="majorBidi" w:cstheme="majorBidi"/>
          <w:i/>
          <w:iCs/>
          <w:noProof/>
          <w:sz w:val="24"/>
          <w:szCs w:val="32"/>
        </w:rPr>
        <w:t>Jurnal Pendidikan Dan Kebudayaan</w:t>
      </w:r>
      <w:r w:rsidRPr="00A90924">
        <w:rPr>
          <w:rFonts w:asciiTheme="majorBidi" w:hAnsiTheme="majorBidi" w:cstheme="majorBidi"/>
          <w:noProof/>
          <w:sz w:val="24"/>
          <w:szCs w:val="32"/>
        </w:rPr>
        <w:t xml:space="preserve">, </w:t>
      </w:r>
      <w:r w:rsidRPr="00A90924">
        <w:rPr>
          <w:rFonts w:asciiTheme="majorBidi" w:hAnsiTheme="majorBidi" w:cstheme="majorBidi"/>
          <w:i/>
          <w:iCs/>
          <w:noProof/>
          <w:sz w:val="24"/>
          <w:szCs w:val="32"/>
        </w:rPr>
        <w:t>17</w:t>
      </w:r>
      <w:r w:rsidRPr="00A90924">
        <w:rPr>
          <w:rFonts w:asciiTheme="majorBidi" w:hAnsiTheme="majorBidi" w:cstheme="majorBidi"/>
          <w:noProof/>
          <w:sz w:val="24"/>
          <w:szCs w:val="32"/>
        </w:rPr>
        <w:t>(1), 43–55. https://doi.org/10.24832/jpnk.v17i1.6</w:t>
      </w:r>
    </w:p>
    <w:p w:rsidR="00100EF8" w:rsidRPr="00A90924" w:rsidRDefault="00100EF8" w:rsidP="00100EF8">
      <w:pPr>
        <w:widowControl w:val="0"/>
        <w:autoSpaceDE w:val="0"/>
        <w:autoSpaceDN w:val="0"/>
        <w:adjustRightInd w:val="0"/>
        <w:ind w:left="480" w:hanging="480"/>
        <w:jc w:val="both"/>
        <w:rPr>
          <w:rFonts w:asciiTheme="majorBidi" w:hAnsiTheme="majorBidi" w:cstheme="majorBidi"/>
          <w:noProof/>
          <w:sz w:val="24"/>
          <w:szCs w:val="32"/>
        </w:rPr>
      </w:pPr>
      <w:r w:rsidRPr="00A90924">
        <w:rPr>
          <w:rFonts w:asciiTheme="majorBidi" w:hAnsiTheme="majorBidi" w:cstheme="majorBidi"/>
          <w:noProof/>
          <w:sz w:val="24"/>
          <w:szCs w:val="32"/>
        </w:rPr>
        <w:t xml:space="preserve">BPS. (2018). </w:t>
      </w:r>
      <w:r w:rsidRPr="00A90924">
        <w:rPr>
          <w:rFonts w:asciiTheme="majorBidi" w:hAnsiTheme="majorBidi" w:cstheme="majorBidi"/>
          <w:i/>
          <w:iCs/>
          <w:noProof/>
          <w:sz w:val="24"/>
          <w:szCs w:val="32"/>
        </w:rPr>
        <w:t>Statistik Kesejahteraan Rakyat Welfare Statistics</w:t>
      </w:r>
      <w:r w:rsidRPr="00A90924">
        <w:rPr>
          <w:rFonts w:asciiTheme="majorBidi" w:hAnsiTheme="majorBidi" w:cstheme="majorBidi"/>
          <w:noProof/>
          <w:sz w:val="24"/>
          <w:szCs w:val="32"/>
        </w:rPr>
        <w:t xml:space="preserve"> (S. S. R. Tangga, Ed.). Jakarta: Badan Pusat Statistik.</w:t>
      </w:r>
    </w:p>
    <w:p w:rsidR="00100EF8" w:rsidRPr="00A90924" w:rsidRDefault="00100EF8" w:rsidP="00100EF8">
      <w:pPr>
        <w:widowControl w:val="0"/>
        <w:autoSpaceDE w:val="0"/>
        <w:autoSpaceDN w:val="0"/>
        <w:adjustRightInd w:val="0"/>
        <w:ind w:left="480" w:hanging="480"/>
        <w:jc w:val="both"/>
        <w:rPr>
          <w:rFonts w:asciiTheme="majorBidi" w:hAnsiTheme="majorBidi" w:cstheme="majorBidi"/>
          <w:noProof/>
          <w:sz w:val="24"/>
          <w:szCs w:val="32"/>
        </w:rPr>
      </w:pPr>
      <w:r w:rsidRPr="00A90924">
        <w:rPr>
          <w:rFonts w:asciiTheme="majorBidi" w:hAnsiTheme="majorBidi" w:cstheme="majorBidi"/>
          <w:noProof/>
          <w:sz w:val="24"/>
          <w:szCs w:val="32"/>
        </w:rPr>
        <w:t>BPS. (2019). Konsep APS, APK dan APM. Retrieved October 20, 2019, from Badan Pusat Statistik website: https://www.bps.go.id/subject/28/pendidikan.html#subjekViewTab1</w:t>
      </w:r>
    </w:p>
    <w:p w:rsidR="00100EF8" w:rsidRPr="00A90924" w:rsidRDefault="00100EF8" w:rsidP="00100EF8">
      <w:pPr>
        <w:widowControl w:val="0"/>
        <w:autoSpaceDE w:val="0"/>
        <w:autoSpaceDN w:val="0"/>
        <w:adjustRightInd w:val="0"/>
        <w:ind w:left="480" w:hanging="480"/>
        <w:jc w:val="both"/>
        <w:rPr>
          <w:rFonts w:asciiTheme="majorBidi" w:hAnsiTheme="majorBidi" w:cstheme="majorBidi"/>
          <w:noProof/>
          <w:sz w:val="24"/>
          <w:szCs w:val="32"/>
        </w:rPr>
      </w:pPr>
      <w:r w:rsidRPr="00A90924">
        <w:rPr>
          <w:rFonts w:asciiTheme="majorBidi" w:hAnsiTheme="majorBidi" w:cstheme="majorBidi"/>
          <w:noProof/>
          <w:sz w:val="24"/>
          <w:szCs w:val="32"/>
        </w:rPr>
        <w:t xml:space="preserve">Buwono, H. S. (2011). Suatu Pendekatan Sosialisasi Dan Advokasi Penuntasan Wajib Belajar 9 Tahun Di Kabupaten Kubu Raya. </w:t>
      </w:r>
      <w:r w:rsidRPr="00A90924">
        <w:rPr>
          <w:rFonts w:asciiTheme="majorBidi" w:hAnsiTheme="majorBidi" w:cstheme="majorBidi"/>
          <w:i/>
          <w:iCs/>
          <w:noProof/>
          <w:sz w:val="24"/>
          <w:szCs w:val="32"/>
        </w:rPr>
        <w:t>Jurnal Pendidikan Sosiologi Dan Humaniora</w:t>
      </w:r>
      <w:r w:rsidRPr="00A90924">
        <w:rPr>
          <w:rFonts w:asciiTheme="majorBidi" w:hAnsiTheme="majorBidi" w:cstheme="majorBidi"/>
          <w:noProof/>
          <w:sz w:val="24"/>
          <w:szCs w:val="32"/>
        </w:rPr>
        <w:t xml:space="preserve">, </w:t>
      </w:r>
      <w:r w:rsidRPr="00A90924">
        <w:rPr>
          <w:rFonts w:asciiTheme="majorBidi" w:hAnsiTheme="majorBidi" w:cstheme="majorBidi"/>
          <w:i/>
          <w:iCs/>
          <w:noProof/>
          <w:sz w:val="24"/>
          <w:szCs w:val="32"/>
        </w:rPr>
        <w:t>2</w:t>
      </w:r>
      <w:r w:rsidRPr="00A90924">
        <w:rPr>
          <w:rFonts w:asciiTheme="majorBidi" w:hAnsiTheme="majorBidi" w:cstheme="majorBidi"/>
          <w:noProof/>
          <w:sz w:val="24"/>
          <w:szCs w:val="32"/>
        </w:rPr>
        <w:t>(2), 208–218. Retrieved from http://jurnal.untan.ac.id/index.php/JPSH/article/view/391</w:t>
      </w:r>
    </w:p>
    <w:p w:rsidR="00100EF8" w:rsidRPr="00A90924" w:rsidRDefault="00100EF8" w:rsidP="00100EF8">
      <w:pPr>
        <w:widowControl w:val="0"/>
        <w:autoSpaceDE w:val="0"/>
        <w:autoSpaceDN w:val="0"/>
        <w:adjustRightInd w:val="0"/>
        <w:ind w:left="480" w:hanging="480"/>
        <w:jc w:val="both"/>
        <w:rPr>
          <w:rFonts w:asciiTheme="majorBidi" w:hAnsiTheme="majorBidi" w:cstheme="majorBidi"/>
          <w:noProof/>
          <w:sz w:val="24"/>
          <w:szCs w:val="32"/>
        </w:rPr>
      </w:pPr>
      <w:r w:rsidRPr="00A90924">
        <w:rPr>
          <w:rFonts w:asciiTheme="majorBidi" w:hAnsiTheme="majorBidi" w:cstheme="majorBidi"/>
          <w:noProof/>
          <w:sz w:val="24"/>
          <w:szCs w:val="32"/>
        </w:rPr>
        <w:t xml:space="preserve">Chummings, W. K. (2014). </w:t>
      </w:r>
      <w:r w:rsidRPr="00A90924">
        <w:rPr>
          <w:rFonts w:asciiTheme="majorBidi" w:hAnsiTheme="majorBidi" w:cstheme="majorBidi"/>
          <w:i/>
          <w:iCs/>
          <w:noProof/>
          <w:sz w:val="24"/>
          <w:szCs w:val="32"/>
        </w:rPr>
        <w:t>Education and equality in Japan</w:t>
      </w:r>
      <w:r w:rsidRPr="00A90924">
        <w:rPr>
          <w:rFonts w:asciiTheme="majorBidi" w:hAnsiTheme="majorBidi" w:cstheme="majorBidi"/>
          <w:noProof/>
          <w:sz w:val="24"/>
          <w:szCs w:val="32"/>
        </w:rPr>
        <w:t>. New Jersey: Princeton University Press.</w:t>
      </w:r>
    </w:p>
    <w:p w:rsidR="00100EF8" w:rsidRPr="00A90924" w:rsidRDefault="00100EF8" w:rsidP="00100EF8">
      <w:pPr>
        <w:widowControl w:val="0"/>
        <w:autoSpaceDE w:val="0"/>
        <w:autoSpaceDN w:val="0"/>
        <w:adjustRightInd w:val="0"/>
        <w:ind w:left="480" w:hanging="480"/>
        <w:jc w:val="both"/>
        <w:rPr>
          <w:rFonts w:asciiTheme="majorBidi" w:hAnsiTheme="majorBidi" w:cstheme="majorBidi"/>
          <w:noProof/>
          <w:sz w:val="24"/>
          <w:szCs w:val="32"/>
        </w:rPr>
      </w:pPr>
      <w:r w:rsidRPr="00A90924">
        <w:rPr>
          <w:rFonts w:asciiTheme="majorBidi" w:hAnsiTheme="majorBidi" w:cstheme="majorBidi"/>
          <w:noProof/>
          <w:sz w:val="24"/>
          <w:szCs w:val="32"/>
        </w:rPr>
        <w:t xml:space="preserve">Darmawan, I. (2017). Pengaruh Status Sosial Ekonomi Dan Lingkungan Teman Sebaya Terhadap Minat Melanjutkan Studi Ke Perguruan Tinggi Pada Siswa. </w:t>
      </w:r>
      <w:r w:rsidRPr="00A90924">
        <w:rPr>
          <w:rFonts w:asciiTheme="majorBidi" w:hAnsiTheme="majorBidi" w:cstheme="majorBidi"/>
          <w:i/>
          <w:iCs/>
          <w:noProof/>
          <w:sz w:val="24"/>
          <w:szCs w:val="32"/>
        </w:rPr>
        <w:t>Jurnal Pendidikan Dan Ekonomi</w:t>
      </w:r>
      <w:r w:rsidRPr="00A90924">
        <w:rPr>
          <w:rFonts w:asciiTheme="majorBidi" w:hAnsiTheme="majorBidi" w:cstheme="majorBidi"/>
          <w:noProof/>
          <w:sz w:val="24"/>
          <w:szCs w:val="32"/>
        </w:rPr>
        <w:t xml:space="preserve">, </w:t>
      </w:r>
      <w:r w:rsidRPr="00A90924">
        <w:rPr>
          <w:rFonts w:asciiTheme="majorBidi" w:hAnsiTheme="majorBidi" w:cstheme="majorBidi"/>
          <w:i/>
          <w:iCs/>
          <w:noProof/>
          <w:sz w:val="24"/>
          <w:szCs w:val="32"/>
        </w:rPr>
        <w:t>6</w:t>
      </w:r>
      <w:r w:rsidRPr="00A90924">
        <w:rPr>
          <w:rFonts w:asciiTheme="majorBidi" w:hAnsiTheme="majorBidi" w:cstheme="majorBidi"/>
          <w:noProof/>
          <w:sz w:val="24"/>
          <w:szCs w:val="32"/>
        </w:rPr>
        <w:t>(2), 156–165. Retrieved from http://journal.student.uny.ac.id/ojs/ojs/index.php/ekonomi/article/view/6090/5816</w:t>
      </w:r>
    </w:p>
    <w:p w:rsidR="00100EF8" w:rsidRPr="00A90924" w:rsidRDefault="00100EF8" w:rsidP="00100EF8">
      <w:pPr>
        <w:widowControl w:val="0"/>
        <w:autoSpaceDE w:val="0"/>
        <w:autoSpaceDN w:val="0"/>
        <w:adjustRightInd w:val="0"/>
        <w:ind w:left="480" w:hanging="480"/>
        <w:jc w:val="both"/>
        <w:rPr>
          <w:rFonts w:asciiTheme="majorBidi" w:hAnsiTheme="majorBidi" w:cstheme="majorBidi"/>
          <w:noProof/>
          <w:sz w:val="24"/>
          <w:szCs w:val="32"/>
        </w:rPr>
      </w:pPr>
      <w:r w:rsidRPr="00A90924">
        <w:rPr>
          <w:rFonts w:asciiTheme="majorBidi" w:hAnsiTheme="majorBidi" w:cstheme="majorBidi"/>
          <w:noProof/>
          <w:sz w:val="24"/>
          <w:szCs w:val="32"/>
        </w:rPr>
        <w:t xml:space="preserve">David, M. E. (2004). Equality and Equity in Higher Education: Learning to Develop New Paradigms from the US Experience? </w:t>
      </w:r>
      <w:r w:rsidRPr="00A90924">
        <w:rPr>
          <w:rFonts w:asciiTheme="majorBidi" w:hAnsiTheme="majorBidi" w:cstheme="majorBidi"/>
          <w:i/>
          <w:iCs/>
          <w:noProof/>
          <w:sz w:val="24"/>
          <w:szCs w:val="32"/>
        </w:rPr>
        <w:t>European Educational Research Journal</w:t>
      </w:r>
      <w:r w:rsidRPr="00A90924">
        <w:rPr>
          <w:rFonts w:asciiTheme="majorBidi" w:hAnsiTheme="majorBidi" w:cstheme="majorBidi"/>
          <w:noProof/>
          <w:sz w:val="24"/>
          <w:szCs w:val="32"/>
        </w:rPr>
        <w:t xml:space="preserve">, </w:t>
      </w:r>
      <w:r w:rsidRPr="00A90924">
        <w:rPr>
          <w:rFonts w:asciiTheme="majorBidi" w:hAnsiTheme="majorBidi" w:cstheme="majorBidi"/>
          <w:i/>
          <w:iCs/>
          <w:noProof/>
          <w:sz w:val="24"/>
          <w:szCs w:val="32"/>
        </w:rPr>
        <w:t>3</w:t>
      </w:r>
      <w:r w:rsidRPr="00A90924">
        <w:rPr>
          <w:rFonts w:asciiTheme="majorBidi" w:hAnsiTheme="majorBidi" w:cstheme="majorBidi"/>
          <w:noProof/>
          <w:sz w:val="24"/>
          <w:szCs w:val="32"/>
        </w:rPr>
        <w:t>(4), 813–819. https://doi.org/10.2304/eerj.2004.3.4.8</w:t>
      </w:r>
    </w:p>
    <w:p w:rsidR="00100EF8" w:rsidRPr="00A90924" w:rsidRDefault="00100EF8" w:rsidP="00100EF8">
      <w:pPr>
        <w:widowControl w:val="0"/>
        <w:autoSpaceDE w:val="0"/>
        <w:autoSpaceDN w:val="0"/>
        <w:adjustRightInd w:val="0"/>
        <w:ind w:left="480" w:hanging="480"/>
        <w:jc w:val="both"/>
        <w:rPr>
          <w:rFonts w:asciiTheme="majorBidi" w:hAnsiTheme="majorBidi" w:cstheme="majorBidi"/>
          <w:noProof/>
          <w:sz w:val="24"/>
          <w:szCs w:val="32"/>
        </w:rPr>
      </w:pPr>
      <w:r w:rsidRPr="00A90924">
        <w:rPr>
          <w:rFonts w:asciiTheme="majorBidi" w:hAnsiTheme="majorBidi" w:cstheme="majorBidi"/>
          <w:noProof/>
          <w:sz w:val="24"/>
          <w:szCs w:val="32"/>
        </w:rPr>
        <w:t xml:space="preserve">Depdiknas. (2010). </w:t>
      </w:r>
      <w:r w:rsidRPr="00A90924">
        <w:rPr>
          <w:rFonts w:asciiTheme="majorBidi" w:hAnsiTheme="majorBidi" w:cstheme="majorBidi"/>
          <w:i/>
          <w:iCs/>
          <w:noProof/>
          <w:sz w:val="24"/>
          <w:szCs w:val="32"/>
        </w:rPr>
        <w:t>Peraturan Pemerintah Republik Indonesia Nomor 47 Tahun 2008 Tentang Wajib Belajar 9 Tahun</w:t>
      </w:r>
      <w:r w:rsidRPr="00A90924">
        <w:rPr>
          <w:rFonts w:asciiTheme="majorBidi" w:hAnsiTheme="majorBidi" w:cstheme="majorBidi"/>
          <w:noProof/>
          <w:sz w:val="24"/>
          <w:szCs w:val="32"/>
        </w:rPr>
        <w:t>. Jakarta: Departemen Pendidikan Nasional.</w:t>
      </w:r>
    </w:p>
    <w:p w:rsidR="00100EF8" w:rsidRPr="00A90924" w:rsidRDefault="00100EF8" w:rsidP="00100EF8">
      <w:pPr>
        <w:widowControl w:val="0"/>
        <w:autoSpaceDE w:val="0"/>
        <w:autoSpaceDN w:val="0"/>
        <w:adjustRightInd w:val="0"/>
        <w:ind w:left="480" w:hanging="480"/>
        <w:jc w:val="both"/>
        <w:rPr>
          <w:rFonts w:asciiTheme="majorBidi" w:hAnsiTheme="majorBidi" w:cstheme="majorBidi"/>
          <w:noProof/>
          <w:sz w:val="24"/>
          <w:szCs w:val="32"/>
        </w:rPr>
      </w:pPr>
      <w:r w:rsidRPr="00A90924">
        <w:rPr>
          <w:rFonts w:asciiTheme="majorBidi" w:hAnsiTheme="majorBidi" w:cstheme="majorBidi"/>
          <w:noProof/>
          <w:sz w:val="24"/>
          <w:szCs w:val="32"/>
        </w:rPr>
        <w:t xml:space="preserve">Dewi, N. A. K., Zukhri, A., &amp; Dunia, I. K. (2014). Analisis Faktor-Faktor Penyebab Anak Putus Sekolah 2012 / 2013. </w:t>
      </w:r>
      <w:r w:rsidRPr="00A90924">
        <w:rPr>
          <w:rFonts w:asciiTheme="majorBidi" w:hAnsiTheme="majorBidi" w:cstheme="majorBidi"/>
          <w:i/>
          <w:iCs/>
          <w:noProof/>
          <w:sz w:val="24"/>
          <w:szCs w:val="32"/>
        </w:rPr>
        <w:t>Jurnal Juruan Pendidikan Ekonomi</w:t>
      </w:r>
      <w:r w:rsidRPr="00A90924">
        <w:rPr>
          <w:rFonts w:asciiTheme="majorBidi" w:hAnsiTheme="majorBidi" w:cstheme="majorBidi"/>
          <w:noProof/>
          <w:sz w:val="24"/>
          <w:szCs w:val="32"/>
        </w:rPr>
        <w:t xml:space="preserve">, </w:t>
      </w:r>
      <w:r w:rsidRPr="00A90924">
        <w:rPr>
          <w:rFonts w:asciiTheme="majorBidi" w:hAnsiTheme="majorBidi" w:cstheme="majorBidi"/>
          <w:i/>
          <w:iCs/>
          <w:noProof/>
          <w:sz w:val="24"/>
          <w:szCs w:val="32"/>
        </w:rPr>
        <w:t>4</w:t>
      </w:r>
      <w:r w:rsidRPr="00A90924">
        <w:rPr>
          <w:rFonts w:asciiTheme="majorBidi" w:hAnsiTheme="majorBidi" w:cstheme="majorBidi"/>
          <w:noProof/>
          <w:sz w:val="24"/>
          <w:szCs w:val="32"/>
        </w:rPr>
        <w:t>(1), 1–12. Retrieved from https://ejournal.undiksha.ac.id/index.php/JJPE/article/view/1898</w:t>
      </w:r>
    </w:p>
    <w:p w:rsidR="00100EF8" w:rsidRPr="00A90924" w:rsidRDefault="00100EF8" w:rsidP="00100EF8">
      <w:pPr>
        <w:widowControl w:val="0"/>
        <w:autoSpaceDE w:val="0"/>
        <w:autoSpaceDN w:val="0"/>
        <w:adjustRightInd w:val="0"/>
        <w:ind w:left="480" w:hanging="480"/>
        <w:jc w:val="both"/>
        <w:rPr>
          <w:rFonts w:asciiTheme="majorBidi" w:hAnsiTheme="majorBidi" w:cstheme="majorBidi"/>
          <w:noProof/>
          <w:sz w:val="24"/>
          <w:szCs w:val="32"/>
        </w:rPr>
      </w:pPr>
      <w:r w:rsidRPr="00A90924">
        <w:rPr>
          <w:rFonts w:asciiTheme="majorBidi" w:hAnsiTheme="majorBidi" w:cstheme="majorBidi"/>
          <w:noProof/>
          <w:sz w:val="24"/>
          <w:szCs w:val="32"/>
        </w:rPr>
        <w:t xml:space="preserve">Fitriani, K. (2014). Pengaruh Motivasi, Prestasi Belajar, Status Sosial Ekonomi Orang Tua Dan Lingkungan Sekolah Terhadap Minat Melanjutkan Pendidikan Ke Perguruan Tinggi Pada Siswa Kelas Xii Akuntansi Smk Negeri 1 Kendal. </w:t>
      </w:r>
      <w:r w:rsidRPr="00A90924">
        <w:rPr>
          <w:rFonts w:asciiTheme="majorBidi" w:hAnsiTheme="majorBidi" w:cstheme="majorBidi"/>
          <w:i/>
          <w:iCs/>
          <w:noProof/>
          <w:sz w:val="24"/>
          <w:szCs w:val="32"/>
        </w:rPr>
        <w:t>Economic Education Analysis Journal</w:t>
      </w:r>
      <w:r w:rsidRPr="00A90924">
        <w:rPr>
          <w:rFonts w:asciiTheme="majorBidi" w:hAnsiTheme="majorBidi" w:cstheme="majorBidi"/>
          <w:noProof/>
          <w:sz w:val="24"/>
          <w:szCs w:val="32"/>
        </w:rPr>
        <w:t xml:space="preserve">, </w:t>
      </w:r>
      <w:r w:rsidRPr="00A90924">
        <w:rPr>
          <w:rFonts w:asciiTheme="majorBidi" w:hAnsiTheme="majorBidi" w:cstheme="majorBidi"/>
          <w:i/>
          <w:iCs/>
          <w:noProof/>
          <w:sz w:val="24"/>
          <w:szCs w:val="32"/>
        </w:rPr>
        <w:t>3</w:t>
      </w:r>
      <w:r w:rsidRPr="00A90924">
        <w:rPr>
          <w:rFonts w:asciiTheme="majorBidi" w:hAnsiTheme="majorBidi" w:cstheme="majorBidi"/>
          <w:noProof/>
          <w:sz w:val="24"/>
          <w:szCs w:val="32"/>
        </w:rPr>
        <w:t>(1), 152–159. Retrieved from http://journal.unnes.ac.id/sju/index.php/eeaj</w:t>
      </w:r>
    </w:p>
    <w:p w:rsidR="00100EF8" w:rsidRPr="00A90924" w:rsidRDefault="00100EF8" w:rsidP="00100EF8">
      <w:pPr>
        <w:widowControl w:val="0"/>
        <w:autoSpaceDE w:val="0"/>
        <w:autoSpaceDN w:val="0"/>
        <w:adjustRightInd w:val="0"/>
        <w:ind w:left="480" w:hanging="480"/>
        <w:jc w:val="both"/>
        <w:rPr>
          <w:rFonts w:asciiTheme="majorBidi" w:hAnsiTheme="majorBidi" w:cstheme="majorBidi"/>
          <w:noProof/>
          <w:sz w:val="24"/>
          <w:szCs w:val="32"/>
        </w:rPr>
      </w:pPr>
      <w:r w:rsidRPr="00A90924">
        <w:rPr>
          <w:rFonts w:asciiTheme="majorBidi" w:hAnsiTheme="majorBidi" w:cstheme="majorBidi"/>
          <w:noProof/>
          <w:sz w:val="24"/>
          <w:szCs w:val="32"/>
        </w:rPr>
        <w:t xml:space="preserve">Hakim, L. (2016). Pemerataan akses pendidikan bagi rakyat sesuai dengan amanat Undang-Undang Nomor 20 Tahun 2003 tentang Sistem Pendidikan Nasional. </w:t>
      </w:r>
      <w:r w:rsidRPr="00A90924">
        <w:rPr>
          <w:rFonts w:asciiTheme="majorBidi" w:hAnsiTheme="majorBidi" w:cstheme="majorBidi"/>
          <w:i/>
          <w:iCs/>
          <w:noProof/>
          <w:sz w:val="24"/>
          <w:szCs w:val="32"/>
        </w:rPr>
        <w:t>EduTech: Jurnal Ilmu Pendidikan Dan Ilmu Sosial</w:t>
      </w:r>
      <w:r w:rsidRPr="00A90924">
        <w:rPr>
          <w:rFonts w:asciiTheme="majorBidi" w:hAnsiTheme="majorBidi" w:cstheme="majorBidi"/>
          <w:noProof/>
          <w:sz w:val="24"/>
          <w:szCs w:val="32"/>
        </w:rPr>
        <w:t xml:space="preserve">, </w:t>
      </w:r>
      <w:r w:rsidRPr="00A90924">
        <w:rPr>
          <w:rFonts w:asciiTheme="majorBidi" w:hAnsiTheme="majorBidi" w:cstheme="majorBidi"/>
          <w:i/>
          <w:iCs/>
          <w:noProof/>
          <w:sz w:val="24"/>
          <w:szCs w:val="32"/>
        </w:rPr>
        <w:t>2</w:t>
      </w:r>
      <w:r w:rsidRPr="00A90924">
        <w:rPr>
          <w:rFonts w:asciiTheme="majorBidi" w:hAnsiTheme="majorBidi" w:cstheme="majorBidi"/>
          <w:noProof/>
          <w:sz w:val="24"/>
          <w:szCs w:val="32"/>
        </w:rPr>
        <w:t xml:space="preserve">(1), 53–64. Retrieved from </w:t>
      </w:r>
      <w:r w:rsidRPr="00A90924">
        <w:rPr>
          <w:rFonts w:asciiTheme="majorBidi" w:hAnsiTheme="majorBidi" w:cstheme="majorBidi"/>
          <w:noProof/>
          <w:sz w:val="24"/>
          <w:szCs w:val="32"/>
        </w:rPr>
        <w:lastRenderedPageBreak/>
        <w:t>http://jurnal.umsu.ac.id/index.php/edutech/article/view/575</w:t>
      </w:r>
    </w:p>
    <w:p w:rsidR="00100EF8" w:rsidRPr="00A90924" w:rsidRDefault="00100EF8" w:rsidP="00100EF8">
      <w:pPr>
        <w:widowControl w:val="0"/>
        <w:autoSpaceDE w:val="0"/>
        <w:autoSpaceDN w:val="0"/>
        <w:adjustRightInd w:val="0"/>
        <w:ind w:left="480" w:hanging="480"/>
        <w:jc w:val="both"/>
        <w:rPr>
          <w:rFonts w:asciiTheme="majorBidi" w:hAnsiTheme="majorBidi" w:cstheme="majorBidi"/>
          <w:noProof/>
          <w:sz w:val="24"/>
          <w:szCs w:val="32"/>
        </w:rPr>
      </w:pPr>
      <w:r w:rsidRPr="00A90924">
        <w:rPr>
          <w:rFonts w:asciiTheme="majorBidi" w:hAnsiTheme="majorBidi" w:cstheme="majorBidi"/>
          <w:noProof/>
          <w:sz w:val="24"/>
          <w:szCs w:val="32"/>
        </w:rPr>
        <w:t xml:space="preserve">Idrus, M. (2012). Mutu Pendidikan Dan Pemerataan Pendidikan Di Daerah/Quality of Education and Regional Educational Equity. </w:t>
      </w:r>
      <w:r w:rsidRPr="00A90924">
        <w:rPr>
          <w:rFonts w:asciiTheme="majorBidi" w:hAnsiTheme="majorBidi" w:cstheme="majorBidi"/>
          <w:i/>
          <w:iCs/>
          <w:noProof/>
          <w:sz w:val="24"/>
          <w:szCs w:val="32"/>
        </w:rPr>
        <w:t>PSIKOPEDAGOGIA Jurnal Bimbingan Dan Konseling</w:t>
      </w:r>
      <w:r w:rsidRPr="00A90924">
        <w:rPr>
          <w:rFonts w:asciiTheme="majorBidi" w:hAnsiTheme="majorBidi" w:cstheme="majorBidi"/>
          <w:noProof/>
          <w:sz w:val="24"/>
          <w:szCs w:val="32"/>
        </w:rPr>
        <w:t xml:space="preserve">, </w:t>
      </w:r>
      <w:r w:rsidRPr="00A90924">
        <w:rPr>
          <w:rFonts w:asciiTheme="majorBidi" w:hAnsiTheme="majorBidi" w:cstheme="majorBidi"/>
          <w:i/>
          <w:iCs/>
          <w:noProof/>
          <w:sz w:val="24"/>
          <w:szCs w:val="32"/>
        </w:rPr>
        <w:t>1</w:t>
      </w:r>
      <w:r w:rsidRPr="00A90924">
        <w:rPr>
          <w:rFonts w:asciiTheme="majorBidi" w:hAnsiTheme="majorBidi" w:cstheme="majorBidi"/>
          <w:noProof/>
          <w:sz w:val="24"/>
          <w:szCs w:val="32"/>
        </w:rPr>
        <w:t>(2), 1–10. https://doi.org/10.12928/psikopedagogia.v1i2.4603</w:t>
      </w:r>
    </w:p>
    <w:p w:rsidR="00100EF8" w:rsidRPr="00A90924" w:rsidRDefault="00100EF8" w:rsidP="00100EF8">
      <w:pPr>
        <w:widowControl w:val="0"/>
        <w:autoSpaceDE w:val="0"/>
        <w:autoSpaceDN w:val="0"/>
        <w:adjustRightInd w:val="0"/>
        <w:ind w:left="480" w:hanging="480"/>
        <w:jc w:val="both"/>
        <w:rPr>
          <w:rFonts w:asciiTheme="majorBidi" w:hAnsiTheme="majorBidi" w:cstheme="majorBidi"/>
          <w:noProof/>
          <w:sz w:val="24"/>
          <w:szCs w:val="32"/>
        </w:rPr>
      </w:pPr>
      <w:r w:rsidRPr="00A90924">
        <w:rPr>
          <w:rFonts w:asciiTheme="majorBidi" w:hAnsiTheme="majorBidi" w:cstheme="majorBidi"/>
          <w:noProof/>
          <w:sz w:val="24"/>
          <w:szCs w:val="32"/>
        </w:rPr>
        <w:t xml:space="preserve">Istiqomah, A., Sukidin, &amp; Suharso, P. (2018). </w:t>
      </w:r>
      <w:r w:rsidRPr="00A90924">
        <w:rPr>
          <w:rFonts w:asciiTheme="majorBidi" w:hAnsiTheme="majorBidi" w:cstheme="majorBidi"/>
          <w:i/>
          <w:iCs/>
          <w:noProof/>
          <w:sz w:val="24"/>
          <w:szCs w:val="32"/>
        </w:rPr>
        <w:t>ANALISIS PARTISISPASI PENDIDIKAN PADA MASYARAKAT MISKIN DUSUN GUMUK LIMO DESA NOGOSARI KECAMATAN RAMBIPUJI KABUPATEN JEMBER</w:t>
      </w:r>
      <w:r w:rsidRPr="00A90924">
        <w:rPr>
          <w:rFonts w:asciiTheme="majorBidi" w:hAnsiTheme="majorBidi" w:cstheme="majorBidi"/>
          <w:noProof/>
          <w:sz w:val="24"/>
          <w:szCs w:val="32"/>
        </w:rPr>
        <w:t xml:space="preserve">. </w:t>
      </w:r>
      <w:r w:rsidRPr="00A90924">
        <w:rPr>
          <w:rFonts w:asciiTheme="majorBidi" w:hAnsiTheme="majorBidi" w:cstheme="majorBidi"/>
          <w:i/>
          <w:iCs/>
          <w:noProof/>
          <w:sz w:val="24"/>
          <w:szCs w:val="32"/>
        </w:rPr>
        <w:t>12</w:t>
      </w:r>
      <w:r w:rsidRPr="00A90924">
        <w:rPr>
          <w:rFonts w:asciiTheme="majorBidi" w:hAnsiTheme="majorBidi" w:cstheme="majorBidi"/>
          <w:noProof/>
          <w:sz w:val="24"/>
          <w:szCs w:val="32"/>
        </w:rPr>
        <w:t>(2), 227–235. https://doi.org/10.19184/jpe.v12i2.8553</w:t>
      </w:r>
    </w:p>
    <w:p w:rsidR="00100EF8" w:rsidRPr="00A90924" w:rsidRDefault="00100EF8" w:rsidP="00100EF8">
      <w:pPr>
        <w:widowControl w:val="0"/>
        <w:autoSpaceDE w:val="0"/>
        <w:autoSpaceDN w:val="0"/>
        <w:adjustRightInd w:val="0"/>
        <w:ind w:left="480" w:hanging="480"/>
        <w:jc w:val="both"/>
        <w:rPr>
          <w:rFonts w:asciiTheme="majorBidi" w:hAnsiTheme="majorBidi" w:cstheme="majorBidi"/>
          <w:noProof/>
          <w:sz w:val="24"/>
          <w:szCs w:val="32"/>
        </w:rPr>
      </w:pPr>
      <w:r w:rsidRPr="00A90924">
        <w:rPr>
          <w:rFonts w:asciiTheme="majorBidi" w:hAnsiTheme="majorBidi" w:cstheme="majorBidi"/>
          <w:noProof/>
          <w:sz w:val="24"/>
          <w:szCs w:val="32"/>
        </w:rPr>
        <w:t>Kemendikbud. (2017). APK-APM.</w:t>
      </w:r>
    </w:p>
    <w:p w:rsidR="00100EF8" w:rsidRPr="00A90924" w:rsidRDefault="00100EF8" w:rsidP="00100EF8">
      <w:pPr>
        <w:widowControl w:val="0"/>
        <w:autoSpaceDE w:val="0"/>
        <w:autoSpaceDN w:val="0"/>
        <w:adjustRightInd w:val="0"/>
        <w:ind w:left="480" w:hanging="480"/>
        <w:jc w:val="both"/>
        <w:rPr>
          <w:rFonts w:asciiTheme="majorBidi" w:hAnsiTheme="majorBidi" w:cstheme="majorBidi"/>
          <w:noProof/>
          <w:sz w:val="24"/>
          <w:szCs w:val="32"/>
        </w:rPr>
      </w:pPr>
      <w:r w:rsidRPr="00A90924">
        <w:rPr>
          <w:rFonts w:asciiTheme="majorBidi" w:hAnsiTheme="majorBidi" w:cstheme="majorBidi"/>
          <w:noProof/>
          <w:sz w:val="24"/>
          <w:szCs w:val="32"/>
        </w:rPr>
        <w:t xml:space="preserve">Lynch, K., &amp; Baker, J. (2005). Equality in education:An equality of condition perspective. </w:t>
      </w:r>
      <w:r w:rsidRPr="00A90924">
        <w:rPr>
          <w:rFonts w:asciiTheme="majorBidi" w:hAnsiTheme="majorBidi" w:cstheme="majorBidi"/>
          <w:i/>
          <w:iCs/>
          <w:noProof/>
          <w:sz w:val="24"/>
          <w:szCs w:val="32"/>
        </w:rPr>
        <w:t>Theory and Research in Education</w:t>
      </w:r>
      <w:r w:rsidRPr="00A90924">
        <w:rPr>
          <w:rFonts w:asciiTheme="majorBidi" w:hAnsiTheme="majorBidi" w:cstheme="majorBidi"/>
          <w:noProof/>
          <w:sz w:val="24"/>
          <w:szCs w:val="32"/>
        </w:rPr>
        <w:t xml:space="preserve">, </w:t>
      </w:r>
      <w:r w:rsidRPr="00A90924">
        <w:rPr>
          <w:rFonts w:asciiTheme="majorBidi" w:hAnsiTheme="majorBidi" w:cstheme="majorBidi"/>
          <w:i/>
          <w:iCs/>
          <w:noProof/>
          <w:sz w:val="24"/>
          <w:szCs w:val="32"/>
        </w:rPr>
        <w:t>3</w:t>
      </w:r>
      <w:r w:rsidRPr="00A90924">
        <w:rPr>
          <w:rFonts w:asciiTheme="majorBidi" w:hAnsiTheme="majorBidi" w:cstheme="majorBidi"/>
          <w:noProof/>
          <w:sz w:val="24"/>
          <w:szCs w:val="32"/>
        </w:rPr>
        <w:t>(2), 131–164. https://doi.org/10.1177/1477878505053298</w:t>
      </w:r>
    </w:p>
    <w:p w:rsidR="00100EF8" w:rsidRPr="00A90924" w:rsidRDefault="00100EF8" w:rsidP="00100EF8">
      <w:pPr>
        <w:widowControl w:val="0"/>
        <w:autoSpaceDE w:val="0"/>
        <w:autoSpaceDN w:val="0"/>
        <w:adjustRightInd w:val="0"/>
        <w:ind w:left="480" w:hanging="480"/>
        <w:jc w:val="both"/>
        <w:rPr>
          <w:rFonts w:asciiTheme="majorBidi" w:hAnsiTheme="majorBidi" w:cstheme="majorBidi"/>
          <w:noProof/>
          <w:sz w:val="24"/>
          <w:szCs w:val="32"/>
        </w:rPr>
      </w:pPr>
      <w:r w:rsidRPr="00A90924">
        <w:rPr>
          <w:rFonts w:asciiTheme="majorBidi" w:hAnsiTheme="majorBidi" w:cstheme="majorBidi"/>
          <w:noProof/>
          <w:sz w:val="24"/>
          <w:szCs w:val="32"/>
        </w:rPr>
        <w:t xml:space="preserve">Malik, H. K., &amp; Sumarno, S. (2016). Kepedulian orang tua terhadap pendidikan anak untuk menyelesaikan program wajar 9 tahun. </w:t>
      </w:r>
      <w:r w:rsidRPr="00A90924">
        <w:rPr>
          <w:rFonts w:asciiTheme="majorBidi" w:hAnsiTheme="majorBidi" w:cstheme="majorBidi"/>
          <w:i/>
          <w:iCs/>
          <w:noProof/>
          <w:sz w:val="24"/>
          <w:szCs w:val="32"/>
        </w:rPr>
        <w:t>Jurnal Pendidikan Dan Pemberdayaan Masyarakat</w:t>
      </w:r>
      <w:r w:rsidRPr="00A90924">
        <w:rPr>
          <w:rFonts w:asciiTheme="majorBidi" w:hAnsiTheme="majorBidi" w:cstheme="majorBidi"/>
          <w:noProof/>
          <w:sz w:val="24"/>
          <w:szCs w:val="32"/>
        </w:rPr>
        <w:t xml:space="preserve">, </w:t>
      </w:r>
      <w:r w:rsidRPr="00A90924">
        <w:rPr>
          <w:rFonts w:asciiTheme="majorBidi" w:hAnsiTheme="majorBidi" w:cstheme="majorBidi"/>
          <w:i/>
          <w:iCs/>
          <w:noProof/>
          <w:sz w:val="24"/>
          <w:szCs w:val="32"/>
        </w:rPr>
        <w:t>3</w:t>
      </w:r>
      <w:r w:rsidRPr="00A90924">
        <w:rPr>
          <w:rFonts w:asciiTheme="majorBidi" w:hAnsiTheme="majorBidi" w:cstheme="majorBidi"/>
          <w:noProof/>
          <w:sz w:val="24"/>
          <w:szCs w:val="32"/>
        </w:rPr>
        <w:t>(1), 38–47. https://doi.org/10.21831/jppm.v3i1.8061</w:t>
      </w:r>
    </w:p>
    <w:p w:rsidR="00100EF8" w:rsidRPr="00A90924" w:rsidRDefault="00100EF8" w:rsidP="00100EF8">
      <w:pPr>
        <w:widowControl w:val="0"/>
        <w:autoSpaceDE w:val="0"/>
        <w:autoSpaceDN w:val="0"/>
        <w:adjustRightInd w:val="0"/>
        <w:ind w:left="480" w:hanging="480"/>
        <w:jc w:val="both"/>
        <w:rPr>
          <w:rFonts w:asciiTheme="majorBidi" w:hAnsiTheme="majorBidi" w:cstheme="majorBidi"/>
          <w:noProof/>
          <w:sz w:val="24"/>
          <w:szCs w:val="32"/>
        </w:rPr>
      </w:pPr>
      <w:r w:rsidRPr="00A90924">
        <w:rPr>
          <w:rFonts w:asciiTheme="majorBidi" w:hAnsiTheme="majorBidi" w:cstheme="majorBidi"/>
          <w:noProof/>
          <w:sz w:val="24"/>
          <w:szCs w:val="32"/>
        </w:rPr>
        <w:t xml:space="preserve">Mua, V. B., Manginsela, E. P., &amp; Baroleh, J. . (2017). Faktor-Faktor Penyebab Putus Sekolah Dari Anak Petani Dan Non-Petani Di Desa Sea Dan Desa Warembungan Kecamatan Pineleng Kabupaten Minahasa. </w:t>
      </w:r>
      <w:r w:rsidRPr="00A90924">
        <w:rPr>
          <w:rFonts w:asciiTheme="majorBidi" w:hAnsiTheme="majorBidi" w:cstheme="majorBidi"/>
          <w:i/>
          <w:iCs/>
          <w:noProof/>
          <w:sz w:val="24"/>
          <w:szCs w:val="32"/>
        </w:rPr>
        <w:t>Agri-Sosioekonomi</w:t>
      </w:r>
      <w:r w:rsidRPr="00A90924">
        <w:rPr>
          <w:rFonts w:asciiTheme="majorBidi" w:hAnsiTheme="majorBidi" w:cstheme="majorBidi"/>
          <w:noProof/>
          <w:sz w:val="24"/>
          <w:szCs w:val="32"/>
        </w:rPr>
        <w:t xml:space="preserve">, </w:t>
      </w:r>
      <w:r w:rsidRPr="00A90924">
        <w:rPr>
          <w:rFonts w:asciiTheme="majorBidi" w:hAnsiTheme="majorBidi" w:cstheme="majorBidi"/>
          <w:i/>
          <w:iCs/>
          <w:noProof/>
          <w:sz w:val="24"/>
          <w:szCs w:val="32"/>
        </w:rPr>
        <w:t>13</w:t>
      </w:r>
      <w:r w:rsidRPr="00A90924">
        <w:rPr>
          <w:rFonts w:asciiTheme="majorBidi" w:hAnsiTheme="majorBidi" w:cstheme="majorBidi"/>
          <w:noProof/>
          <w:sz w:val="24"/>
          <w:szCs w:val="32"/>
        </w:rPr>
        <w:t>(3A), 313–322. https://doi.org/10.35791/agrsosek.13.3a.2017.18401</w:t>
      </w:r>
    </w:p>
    <w:p w:rsidR="00100EF8" w:rsidRPr="00A90924" w:rsidRDefault="00100EF8" w:rsidP="00100EF8">
      <w:pPr>
        <w:widowControl w:val="0"/>
        <w:autoSpaceDE w:val="0"/>
        <w:autoSpaceDN w:val="0"/>
        <w:adjustRightInd w:val="0"/>
        <w:ind w:left="480" w:hanging="480"/>
        <w:jc w:val="both"/>
        <w:rPr>
          <w:rFonts w:asciiTheme="majorBidi" w:hAnsiTheme="majorBidi" w:cstheme="majorBidi"/>
          <w:noProof/>
          <w:sz w:val="24"/>
          <w:szCs w:val="32"/>
        </w:rPr>
      </w:pPr>
      <w:r w:rsidRPr="00A90924">
        <w:rPr>
          <w:rFonts w:asciiTheme="majorBidi" w:hAnsiTheme="majorBidi" w:cstheme="majorBidi"/>
          <w:noProof/>
          <w:sz w:val="24"/>
          <w:szCs w:val="32"/>
        </w:rPr>
        <w:t xml:space="preserve">Nadziroh, Chairiyah, &amp; Pratomo, W. (2018). Hak Warga Negara Dalam Memperoleh Pendidikan. </w:t>
      </w:r>
      <w:r w:rsidRPr="00A90924">
        <w:rPr>
          <w:rFonts w:asciiTheme="majorBidi" w:hAnsiTheme="majorBidi" w:cstheme="majorBidi"/>
          <w:i/>
          <w:iCs/>
          <w:noProof/>
          <w:sz w:val="24"/>
          <w:szCs w:val="32"/>
        </w:rPr>
        <w:t>Trihayu: Jurnal Pendidikan Ke-SD-An</w:t>
      </w:r>
      <w:r w:rsidRPr="00A90924">
        <w:rPr>
          <w:rFonts w:asciiTheme="majorBidi" w:hAnsiTheme="majorBidi" w:cstheme="majorBidi"/>
          <w:noProof/>
          <w:sz w:val="24"/>
          <w:szCs w:val="32"/>
        </w:rPr>
        <w:t xml:space="preserve">, </w:t>
      </w:r>
      <w:r w:rsidRPr="00A90924">
        <w:rPr>
          <w:rFonts w:asciiTheme="majorBidi" w:hAnsiTheme="majorBidi" w:cstheme="majorBidi"/>
          <w:i/>
          <w:iCs/>
          <w:noProof/>
          <w:sz w:val="24"/>
          <w:szCs w:val="32"/>
        </w:rPr>
        <w:t>4</w:t>
      </w:r>
      <w:r w:rsidRPr="00A90924">
        <w:rPr>
          <w:rFonts w:asciiTheme="majorBidi" w:hAnsiTheme="majorBidi" w:cstheme="majorBidi"/>
          <w:noProof/>
          <w:sz w:val="24"/>
          <w:szCs w:val="32"/>
        </w:rPr>
        <w:t>(3), 400–405. Retrieved from http://jurnal.ustjogja.ac.id/index.php/trihayu/article/view/2602</w:t>
      </w:r>
    </w:p>
    <w:p w:rsidR="00100EF8" w:rsidRPr="00A90924" w:rsidRDefault="00100EF8" w:rsidP="00100EF8">
      <w:pPr>
        <w:widowControl w:val="0"/>
        <w:autoSpaceDE w:val="0"/>
        <w:autoSpaceDN w:val="0"/>
        <w:adjustRightInd w:val="0"/>
        <w:ind w:left="480" w:hanging="480"/>
        <w:jc w:val="both"/>
        <w:rPr>
          <w:rFonts w:asciiTheme="majorBidi" w:hAnsiTheme="majorBidi" w:cstheme="majorBidi"/>
          <w:noProof/>
          <w:sz w:val="24"/>
          <w:szCs w:val="32"/>
        </w:rPr>
      </w:pPr>
      <w:r w:rsidRPr="00A90924">
        <w:rPr>
          <w:rFonts w:asciiTheme="majorBidi" w:hAnsiTheme="majorBidi" w:cstheme="majorBidi"/>
          <w:noProof/>
          <w:sz w:val="24"/>
          <w:szCs w:val="32"/>
        </w:rPr>
        <w:t xml:space="preserve">Natasha, H. (2013). Ketidaksetaraan Gender Bidang Pendidikan: Faktor Penyebab, Dampak, Dan Solusi. </w:t>
      </w:r>
      <w:r w:rsidRPr="00A90924">
        <w:rPr>
          <w:rFonts w:asciiTheme="majorBidi" w:hAnsiTheme="majorBidi" w:cstheme="majorBidi"/>
          <w:i/>
          <w:iCs/>
          <w:noProof/>
          <w:sz w:val="24"/>
          <w:szCs w:val="32"/>
        </w:rPr>
        <w:t>Marwah: Jurnal Perempuan, Agama Dan Jender</w:t>
      </w:r>
      <w:r w:rsidRPr="00A90924">
        <w:rPr>
          <w:rFonts w:asciiTheme="majorBidi" w:hAnsiTheme="majorBidi" w:cstheme="majorBidi"/>
          <w:noProof/>
          <w:sz w:val="24"/>
          <w:szCs w:val="32"/>
        </w:rPr>
        <w:t xml:space="preserve">, </w:t>
      </w:r>
      <w:r w:rsidRPr="00A90924">
        <w:rPr>
          <w:rFonts w:asciiTheme="majorBidi" w:hAnsiTheme="majorBidi" w:cstheme="majorBidi"/>
          <w:i/>
          <w:iCs/>
          <w:noProof/>
          <w:sz w:val="24"/>
          <w:szCs w:val="32"/>
        </w:rPr>
        <w:t>12</w:t>
      </w:r>
      <w:r w:rsidRPr="00A90924">
        <w:rPr>
          <w:rFonts w:asciiTheme="majorBidi" w:hAnsiTheme="majorBidi" w:cstheme="majorBidi"/>
          <w:noProof/>
          <w:sz w:val="24"/>
          <w:szCs w:val="32"/>
        </w:rPr>
        <w:t>(1), 53–54. https://doi.org/10.24014/marwah.v12i1.513</w:t>
      </w:r>
    </w:p>
    <w:p w:rsidR="00100EF8" w:rsidRPr="00A90924" w:rsidRDefault="00100EF8" w:rsidP="00100EF8">
      <w:pPr>
        <w:widowControl w:val="0"/>
        <w:autoSpaceDE w:val="0"/>
        <w:autoSpaceDN w:val="0"/>
        <w:adjustRightInd w:val="0"/>
        <w:ind w:left="480" w:hanging="480"/>
        <w:jc w:val="both"/>
        <w:rPr>
          <w:rFonts w:asciiTheme="majorBidi" w:hAnsiTheme="majorBidi" w:cstheme="majorBidi"/>
          <w:noProof/>
          <w:sz w:val="24"/>
          <w:szCs w:val="32"/>
        </w:rPr>
      </w:pPr>
      <w:r w:rsidRPr="00A90924">
        <w:rPr>
          <w:rFonts w:asciiTheme="majorBidi" w:hAnsiTheme="majorBidi" w:cstheme="majorBidi"/>
          <w:noProof/>
          <w:sz w:val="24"/>
          <w:szCs w:val="32"/>
        </w:rPr>
        <w:t>Nugraheny, D. E. (2019). Mendikbud: Angka Buta Aksara di Enam Provinsi Masih Tinggi. Retrieved October 20, 2019, from Republika Online website: https://www.republika.co.id/berita/pendidikan/eduaction/pxftye409/mendikbud-angka-buta-aksara-di-enam-provinsi-masih-tinggi</w:t>
      </w:r>
    </w:p>
    <w:p w:rsidR="00100EF8" w:rsidRPr="00A90924" w:rsidRDefault="00100EF8" w:rsidP="00100EF8">
      <w:pPr>
        <w:widowControl w:val="0"/>
        <w:autoSpaceDE w:val="0"/>
        <w:autoSpaceDN w:val="0"/>
        <w:adjustRightInd w:val="0"/>
        <w:ind w:left="480" w:hanging="480"/>
        <w:jc w:val="both"/>
        <w:rPr>
          <w:rFonts w:asciiTheme="majorBidi" w:hAnsiTheme="majorBidi" w:cstheme="majorBidi"/>
          <w:noProof/>
          <w:sz w:val="24"/>
          <w:szCs w:val="32"/>
        </w:rPr>
      </w:pPr>
      <w:r w:rsidRPr="00A90924">
        <w:rPr>
          <w:rFonts w:asciiTheme="majorBidi" w:hAnsiTheme="majorBidi" w:cstheme="majorBidi"/>
          <w:noProof/>
          <w:sz w:val="24"/>
          <w:szCs w:val="32"/>
        </w:rPr>
        <w:t>Prastiwi, D. (2019). Mendikbud Akui Wajib Belajar 12 Tahun Belum Maksimal. Retrieved October 23, 2019, from Merdeka website: https://www.merdeka.com/peristiwa/mendikbud-akui-wajib-belajar-12-tahun-belum-maksimal.html</w:t>
      </w:r>
    </w:p>
    <w:p w:rsidR="00100EF8" w:rsidRPr="00A90924" w:rsidRDefault="00100EF8" w:rsidP="00100EF8">
      <w:pPr>
        <w:widowControl w:val="0"/>
        <w:autoSpaceDE w:val="0"/>
        <w:autoSpaceDN w:val="0"/>
        <w:adjustRightInd w:val="0"/>
        <w:ind w:left="480" w:hanging="480"/>
        <w:jc w:val="both"/>
        <w:rPr>
          <w:rFonts w:asciiTheme="majorBidi" w:hAnsiTheme="majorBidi" w:cstheme="majorBidi"/>
          <w:noProof/>
          <w:sz w:val="24"/>
          <w:szCs w:val="32"/>
        </w:rPr>
      </w:pPr>
      <w:r w:rsidRPr="00A90924">
        <w:rPr>
          <w:rFonts w:asciiTheme="majorBidi" w:hAnsiTheme="majorBidi" w:cstheme="majorBidi"/>
          <w:noProof/>
          <w:sz w:val="24"/>
          <w:szCs w:val="32"/>
        </w:rPr>
        <w:t xml:space="preserve">Punaji, S. (2010). </w:t>
      </w:r>
      <w:r w:rsidRPr="00A90924">
        <w:rPr>
          <w:rFonts w:asciiTheme="majorBidi" w:hAnsiTheme="majorBidi" w:cstheme="majorBidi"/>
          <w:i/>
          <w:iCs/>
          <w:noProof/>
          <w:sz w:val="24"/>
          <w:szCs w:val="32"/>
        </w:rPr>
        <w:t>Metode penelitian pendidikan dan pengembangan</w:t>
      </w:r>
      <w:r w:rsidRPr="00A90924">
        <w:rPr>
          <w:rFonts w:asciiTheme="majorBidi" w:hAnsiTheme="majorBidi" w:cstheme="majorBidi"/>
          <w:noProof/>
          <w:sz w:val="24"/>
          <w:szCs w:val="32"/>
        </w:rPr>
        <w:t>. Jakarta: Kencana.</w:t>
      </w:r>
    </w:p>
    <w:p w:rsidR="00100EF8" w:rsidRPr="00A90924" w:rsidRDefault="00100EF8" w:rsidP="00100EF8">
      <w:pPr>
        <w:widowControl w:val="0"/>
        <w:autoSpaceDE w:val="0"/>
        <w:autoSpaceDN w:val="0"/>
        <w:adjustRightInd w:val="0"/>
        <w:ind w:left="480" w:hanging="480"/>
        <w:jc w:val="both"/>
        <w:rPr>
          <w:rFonts w:asciiTheme="majorBidi" w:hAnsiTheme="majorBidi" w:cstheme="majorBidi"/>
          <w:noProof/>
          <w:sz w:val="24"/>
          <w:szCs w:val="32"/>
        </w:rPr>
      </w:pPr>
      <w:r w:rsidRPr="00A90924">
        <w:rPr>
          <w:rFonts w:asciiTheme="majorBidi" w:hAnsiTheme="majorBidi" w:cstheme="majorBidi"/>
          <w:noProof/>
          <w:sz w:val="24"/>
          <w:szCs w:val="32"/>
        </w:rPr>
        <w:t xml:space="preserve">Purwanto, N. A. (2006). Kontribusi Pendidikan Bagi Pembangunan Ekonomi Negara. </w:t>
      </w:r>
      <w:r w:rsidRPr="00A90924">
        <w:rPr>
          <w:rFonts w:asciiTheme="majorBidi" w:hAnsiTheme="majorBidi" w:cstheme="majorBidi"/>
          <w:i/>
          <w:iCs/>
          <w:noProof/>
          <w:sz w:val="24"/>
          <w:szCs w:val="32"/>
        </w:rPr>
        <w:t>Jurnal Manajemen Pendidikan</w:t>
      </w:r>
      <w:r w:rsidRPr="00A90924">
        <w:rPr>
          <w:rFonts w:asciiTheme="majorBidi" w:hAnsiTheme="majorBidi" w:cstheme="majorBidi"/>
          <w:noProof/>
          <w:sz w:val="24"/>
          <w:szCs w:val="32"/>
        </w:rPr>
        <w:t xml:space="preserve">, </w:t>
      </w:r>
      <w:r w:rsidRPr="00A90924">
        <w:rPr>
          <w:rFonts w:asciiTheme="majorBidi" w:hAnsiTheme="majorBidi" w:cstheme="majorBidi"/>
          <w:i/>
          <w:iCs/>
          <w:noProof/>
          <w:sz w:val="24"/>
          <w:szCs w:val="32"/>
        </w:rPr>
        <w:t>2</w:t>
      </w:r>
      <w:r w:rsidRPr="00A90924">
        <w:rPr>
          <w:rFonts w:asciiTheme="majorBidi" w:hAnsiTheme="majorBidi" w:cstheme="majorBidi"/>
          <w:noProof/>
          <w:sz w:val="24"/>
          <w:szCs w:val="32"/>
        </w:rPr>
        <w:t>(2), 1–7. Retrieved from http://garuda.ristekdikti.go.id/journal/view/455?&amp;items=10&amp;page=8</w:t>
      </w:r>
    </w:p>
    <w:p w:rsidR="00100EF8" w:rsidRPr="00A90924" w:rsidRDefault="00100EF8" w:rsidP="00100EF8">
      <w:pPr>
        <w:widowControl w:val="0"/>
        <w:autoSpaceDE w:val="0"/>
        <w:autoSpaceDN w:val="0"/>
        <w:adjustRightInd w:val="0"/>
        <w:ind w:left="480" w:hanging="480"/>
        <w:jc w:val="both"/>
        <w:rPr>
          <w:rFonts w:asciiTheme="majorBidi" w:hAnsiTheme="majorBidi" w:cstheme="majorBidi"/>
          <w:noProof/>
          <w:sz w:val="24"/>
          <w:szCs w:val="32"/>
        </w:rPr>
      </w:pPr>
      <w:r w:rsidRPr="00A90924">
        <w:rPr>
          <w:rFonts w:asciiTheme="majorBidi" w:hAnsiTheme="majorBidi" w:cstheme="majorBidi"/>
          <w:noProof/>
          <w:sz w:val="24"/>
          <w:szCs w:val="32"/>
        </w:rPr>
        <w:lastRenderedPageBreak/>
        <w:t>Rahayu, C. M. (2017). JPPI: Wajib Belajar 12 Tahun Masih Sebatas Retrorika. Retrieved October 21, 2019, from https://news.detik.com/berita/d-3460243/jppi-wajib-belajar-12-tahun-masih-sebatas-retrorika</w:t>
      </w:r>
    </w:p>
    <w:p w:rsidR="00100EF8" w:rsidRPr="00A90924" w:rsidRDefault="00100EF8" w:rsidP="00100EF8">
      <w:pPr>
        <w:widowControl w:val="0"/>
        <w:autoSpaceDE w:val="0"/>
        <w:autoSpaceDN w:val="0"/>
        <w:adjustRightInd w:val="0"/>
        <w:ind w:left="480" w:hanging="480"/>
        <w:jc w:val="both"/>
        <w:rPr>
          <w:rFonts w:asciiTheme="majorBidi" w:hAnsiTheme="majorBidi" w:cstheme="majorBidi"/>
          <w:noProof/>
          <w:sz w:val="24"/>
          <w:szCs w:val="32"/>
        </w:rPr>
      </w:pPr>
      <w:r w:rsidRPr="00A90924">
        <w:rPr>
          <w:rFonts w:asciiTheme="majorBidi" w:hAnsiTheme="majorBidi" w:cstheme="majorBidi"/>
          <w:noProof/>
          <w:sz w:val="24"/>
          <w:szCs w:val="32"/>
        </w:rPr>
        <w:t xml:space="preserve">Reay, D. (2018). Miseducation: inequality, education and the working classes. </w:t>
      </w:r>
      <w:r w:rsidRPr="00A90924">
        <w:rPr>
          <w:rFonts w:asciiTheme="majorBidi" w:hAnsiTheme="majorBidi" w:cstheme="majorBidi"/>
          <w:i/>
          <w:iCs/>
          <w:noProof/>
          <w:sz w:val="24"/>
          <w:szCs w:val="32"/>
        </w:rPr>
        <w:t>International Studies in Sociology of Education</w:t>
      </w:r>
      <w:r w:rsidRPr="00A90924">
        <w:rPr>
          <w:rFonts w:asciiTheme="majorBidi" w:hAnsiTheme="majorBidi" w:cstheme="majorBidi"/>
          <w:noProof/>
          <w:sz w:val="24"/>
          <w:szCs w:val="32"/>
        </w:rPr>
        <w:t xml:space="preserve">, </w:t>
      </w:r>
      <w:r w:rsidRPr="00A90924">
        <w:rPr>
          <w:rFonts w:asciiTheme="majorBidi" w:hAnsiTheme="majorBidi" w:cstheme="majorBidi"/>
          <w:i/>
          <w:iCs/>
          <w:noProof/>
          <w:sz w:val="24"/>
          <w:szCs w:val="32"/>
        </w:rPr>
        <w:t>27</w:t>
      </w:r>
      <w:r w:rsidRPr="00A90924">
        <w:rPr>
          <w:rFonts w:asciiTheme="majorBidi" w:hAnsiTheme="majorBidi" w:cstheme="majorBidi"/>
          <w:noProof/>
          <w:sz w:val="24"/>
          <w:szCs w:val="32"/>
        </w:rPr>
        <w:t>(4), 453–456. https://doi.org/10.1080/09620214.2018.1531229</w:t>
      </w:r>
    </w:p>
    <w:p w:rsidR="00100EF8" w:rsidRPr="00A90924" w:rsidRDefault="00100EF8" w:rsidP="00100EF8">
      <w:pPr>
        <w:widowControl w:val="0"/>
        <w:autoSpaceDE w:val="0"/>
        <w:autoSpaceDN w:val="0"/>
        <w:adjustRightInd w:val="0"/>
        <w:ind w:left="480" w:hanging="480"/>
        <w:jc w:val="both"/>
        <w:rPr>
          <w:rFonts w:asciiTheme="majorBidi" w:hAnsiTheme="majorBidi" w:cstheme="majorBidi"/>
          <w:noProof/>
          <w:sz w:val="24"/>
          <w:szCs w:val="32"/>
        </w:rPr>
      </w:pPr>
      <w:r w:rsidRPr="00A90924">
        <w:rPr>
          <w:rFonts w:asciiTheme="majorBidi" w:hAnsiTheme="majorBidi" w:cstheme="majorBidi"/>
          <w:noProof/>
          <w:sz w:val="24"/>
          <w:szCs w:val="32"/>
        </w:rPr>
        <w:t xml:space="preserve">Rini, E. S. (2012). </w:t>
      </w:r>
      <w:r w:rsidRPr="00A90924">
        <w:rPr>
          <w:rFonts w:asciiTheme="majorBidi" w:hAnsiTheme="majorBidi" w:cstheme="majorBidi"/>
          <w:i/>
          <w:iCs/>
          <w:noProof/>
          <w:sz w:val="24"/>
          <w:szCs w:val="32"/>
        </w:rPr>
        <w:t>HUBUNGAN TINGKAT PENDIDIKAN ORANG TUA DAN PRESTASI BELAJAR SISWA DENGAN MINAT SISWA MELANJUTKAN STUDI KE PERGURUAN TINGGI PADA SISWA KELAS XI SMA NEGERI 1 KALASAN TAHUN AJARAN 2011/2012</w:t>
      </w:r>
      <w:r w:rsidRPr="00A90924">
        <w:rPr>
          <w:rFonts w:asciiTheme="majorBidi" w:hAnsiTheme="majorBidi" w:cstheme="majorBidi"/>
          <w:noProof/>
          <w:sz w:val="24"/>
          <w:szCs w:val="32"/>
        </w:rPr>
        <w:t>. Universitas Negeri Yogyakarta.</w:t>
      </w:r>
    </w:p>
    <w:p w:rsidR="00100EF8" w:rsidRPr="00A90924" w:rsidRDefault="00100EF8" w:rsidP="00100EF8">
      <w:pPr>
        <w:widowControl w:val="0"/>
        <w:autoSpaceDE w:val="0"/>
        <w:autoSpaceDN w:val="0"/>
        <w:adjustRightInd w:val="0"/>
        <w:ind w:left="480" w:hanging="480"/>
        <w:jc w:val="both"/>
        <w:rPr>
          <w:rFonts w:asciiTheme="majorBidi" w:hAnsiTheme="majorBidi" w:cstheme="majorBidi"/>
          <w:noProof/>
          <w:sz w:val="24"/>
          <w:szCs w:val="32"/>
        </w:rPr>
      </w:pPr>
      <w:r w:rsidRPr="00A90924">
        <w:rPr>
          <w:rFonts w:asciiTheme="majorBidi" w:hAnsiTheme="majorBidi" w:cstheme="majorBidi"/>
          <w:noProof/>
          <w:sz w:val="24"/>
          <w:szCs w:val="32"/>
        </w:rPr>
        <w:t xml:space="preserve">Sahwiyadi. (2018). Pendidikan anak perspektif munif chatib dan relevansinya dengan pendidikan anak dalam islam. </w:t>
      </w:r>
      <w:r w:rsidRPr="00A90924">
        <w:rPr>
          <w:rFonts w:asciiTheme="majorBidi" w:hAnsiTheme="majorBidi" w:cstheme="majorBidi"/>
          <w:i/>
          <w:iCs/>
          <w:noProof/>
          <w:sz w:val="24"/>
          <w:szCs w:val="32"/>
        </w:rPr>
        <w:t>Realita Jurnal Penelitian Dan Kebudayaan Islam</w:t>
      </w:r>
      <w:r w:rsidRPr="00A90924">
        <w:rPr>
          <w:rFonts w:asciiTheme="majorBidi" w:hAnsiTheme="majorBidi" w:cstheme="majorBidi"/>
          <w:noProof/>
          <w:sz w:val="24"/>
          <w:szCs w:val="32"/>
        </w:rPr>
        <w:t xml:space="preserve">, </w:t>
      </w:r>
      <w:r w:rsidRPr="00A90924">
        <w:rPr>
          <w:rFonts w:asciiTheme="majorBidi" w:hAnsiTheme="majorBidi" w:cstheme="majorBidi"/>
          <w:i/>
          <w:iCs/>
          <w:noProof/>
          <w:sz w:val="24"/>
          <w:szCs w:val="32"/>
        </w:rPr>
        <w:t>16</w:t>
      </w:r>
      <w:r w:rsidRPr="00A90924">
        <w:rPr>
          <w:rFonts w:asciiTheme="majorBidi" w:hAnsiTheme="majorBidi" w:cstheme="majorBidi"/>
          <w:noProof/>
          <w:sz w:val="24"/>
          <w:szCs w:val="32"/>
        </w:rPr>
        <w:t>(2), 141–155. Retrieved from https://jurnal.iainkediri.ac.id/index.php/realita/article/view/1036</w:t>
      </w:r>
    </w:p>
    <w:p w:rsidR="00100EF8" w:rsidRPr="00A90924" w:rsidRDefault="00100EF8" w:rsidP="00100EF8">
      <w:pPr>
        <w:widowControl w:val="0"/>
        <w:autoSpaceDE w:val="0"/>
        <w:autoSpaceDN w:val="0"/>
        <w:adjustRightInd w:val="0"/>
        <w:ind w:left="480" w:hanging="480"/>
        <w:jc w:val="both"/>
        <w:rPr>
          <w:rFonts w:asciiTheme="majorBidi" w:hAnsiTheme="majorBidi" w:cstheme="majorBidi"/>
          <w:noProof/>
          <w:sz w:val="24"/>
          <w:szCs w:val="32"/>
        </w:rPr>
      </w:pPr>
      <w:r w:rsidRPr="00A90924">
        <w:rPr>
          <w:rFonts w:asciiTheme="majorBidi" w:hAnsiTheme="majorBidi" w:cstheme="majorBidi"/>
          <w:noProof/>
          <w:sz w:val="24"/>
          <w:szCs w:val="32"/>
        </w:rPr>
        <w:t xml:space="preserve">Schutz, G., Ursprung, H. W., &amp; Woessmann, L. (2008). Education policy and equality of opportunity. </w:t>
      </w:r>
      <w:r w:rsidRPr="00A90924">
        <w:rPr>
          <w:rFonts w:asciiTheme="majorBidi" w:hAnsiTheme="majorBidi" w:cstheme="majorBidi"/>
          <w:i/>
          <w:iCs/>
          <w:noProof/>
          <w:sz w:val="24"/>
          <w:szCs w:val="32"/>
        </w:rPr>
        <w:t>Kyklos</w:t>
      </w:r>
      <w:r w:rsidRPr="00A90924">
        <w:rPr>
          <w:rFonts w:asciiTheme="majorBidi" w:hAnsiTheme="majorBidi" w:cstheme="majorBidi"/>
          <w:noProof/>
          <w:sz w:val="24"/>
          <w:szCs w:val="32"/>
        </w:rPr>
        <w:t xml:space="preserve">, </w:t>
      </w:r>
      <w:r w:rsidRPr="00A90924">
        <w:rPr>
          <w:rFonts w:asciiTheme="majorBidi" w:hAnsiTheme="majorBidi" w:cstheme="majorBidi"/>
          <w:i/>
          <w:iCs/>
          <w:noProof/>
          <w:sz w:val="24"/>
          <w:szCs w:val="32"/>
        </w:rPr>
        <w:t>61</w:t>
      </w:r>
      <w:r w:rsidRPr="00A90924">
        <w:rPr>
          <w:rFonts w:asciiTheme="majorBidi" w:hAnsiTheme="majorBidi" w:cstheme="majorBidi"/>
          <w:noProof/>
          <w:sz w:val="24"/>
          <w:szCs w:val="32"/>
        </w:rPr>
        <w:t>(2), 279–308. https://doi.org/10.1111/j.1467-6435.2008.00402.x</w:t>
      </w:r>
    </w:p>
    <w:p w:rsidR="00100EF8" w:rsidRPr="00A90924" w:rsidRDefault="00100EF8" w:rsidP="00100EF8">
      <w:pPr>
        <w:widowControl w:val="0"/>
        <w:autoSpaceDE w:val="0"/>
        <w:autoSpaceDN w:val="0"/>
        <w:adjustRightInd w:val="0"/>
        <w:ind w:left="480" w:hanging="480"/>
        <w:jc w:val="both"/>
        <w:rPr>
          <w:rFonts w:asciiTheme="majorBidi" w:hAnsiTheme="majorBidi" w:cstheme="majorBidi"/>
          <w:noProof/>
          <w:sz w:val="24"/>
          <w:szCs w:val="32"/>
        </w:rPr>
      </w:pPr>
      <w:r w:rsidRPr="00A90924">
        <w:rPr>
          <w:rFonts w:asciiTheme="majorBidi" w:hAnsiTheme="majorBidi" w:cstheme="majorBidi"/>
          <w:noProof/>
          <w:sz w:val="24"/>
          <w:szCs w:val="32"/>
        </w:rPr>
        <w:t>Shemi, H. (2019). Angka Putus Sekolah di Indonesia yang Mengkhawatirkan. Retrieved October 20, 2019, from idntimes website: https://www.idntimes.com/news/indonesia/helmi/angka-putus-sekolah-di-indonesia-yang-mengkhawatirkan/full</w:t>
      </w:r>
    </w:p>
    <w:p w:rsidR="00100EF8" w:rsidRPr="00A90924" w:rsidRDefault="00100EF8" w:rsidP="00100EF8">
      <w:pPr>
        <w:widowControl w:val="0"/>
        <w:autoSpaceDE w:val="0"/>
        <w:autoSpaceDN w:val="0"/>
        <w:adjustRightInd w:val="0"/>
        <w:ind w:left="480" w:hanging="480"/>
        <w:jc w:val="both"/>
        <w:rPr>
          <w:rFonts w:asciiTheme="majorBidi" w:hAnsiTheme="majorBidi" w:cstheme="majorBidi"/>
          <w:noProof/>
          <w:sz w:val="24"/>
          <w:szCs w:val="32"/>
        </w:rPr>
      </w:pPr>
      <w:r w:rsidRPr="00A90924">
        <w:rPr>
          <w:rFonts w:asciiTheme="majorBidi" w:hAnsiTheme="majorBidi" w:cstheme="majorBidi"/>
          <w:noProof/>
          <w:sz w:val="24"/>
          <w:szCs w:val="32"/>
        </w:rPr>
        <w:t xml:space="preserve">Suciningrum, N. P., &amp; Rahayu, E. S. (2015). Pengaruh Status Sosial Ekonomi Orang Tua Dan Motivasi Belajar Tehadap Minat Melanjutkan Studi Ke Perguruan Tinggi Pada Kelas Xi Di Sma Pusaka 1 Jakarta. </w:t>
      </w:r>
      <w:r w:rsidRPr="00A90924">
        <w:rPr>
          <w:rFonts w:asciiTheme="majorBidi" w:hAnsiTheme="majorBidi" w:cstheme="majorBidi"/>
          <w:i/>
          <w:iCs/>
          <w:noProof/>
          <w:sz w:val="24"/>
          <w:szCs w:val="32"/>
        </w:rPr>
        <w:t>Jurnal Pendidikan Ekonomi Dan Bisnis (JPEB)</w:t>
      </w:r>
      <w:r w:rsidRPr="00A90924">
        <w:rPr>
          <w:rFonts w:asciiTheme="majorBidi" w:hAnsiTheme="majorBidi" w:cstheme="majorBidi"/>
          <w:noProof/>
          <w:sz w:val="24"/>
          <w:szCs w:val="32"/>
        </w:rPr>
        <w:t xml:space="preserve">, </w:t>
      </w:r>
      <w:r w:rsidRPr="00A90924">
        <w:rPr>
          <w:rFonts w:asciiTheme="majorBidi" w:hAnsiTheme="majorBidi" w:cstheme="majorBidi"/>
          <w:i/>
          <w:iCs/>
          <w:noProof/>
          <w:sz w:val="24"/>
          <w:szCs w:val="32"/>
        </w:rPr>
        <w:t>3</w:t>
      </w:r>
      <w:r w:rsidRPr="00A90924">
        <w:rPr>
          <w:rFonts w:asciiTheme="majorBidi" w:hAnsiTheme="majorBidi" w:cstheme="majorBidi"/>
          <w:noProof/>
          <w:sz w:val="24"/>
          <w:szCs w:val="32"/>
        </w:rPr>
        <w:t>(1), 1–21. https://doi.org/10.21009/jpeb.003.1.1</w:t>
      </w:r>
    </w:p>
    <w:p w:rsidR="00100EF8" w:rsidRPr="00A90924" w:rsidRDefault="00100EF8" w:rsidP="00100EF8">
      <w:pPr>
        <w:widowControl w:val="0"/>
        <w:autoSpaceDE w:val="0"/>
        <w:autoSpaceDN w:val="0"/>
        <w:adjustRightInd w:val="0"/>
        <w:ind w:left="480" w:hanging="480"/>
        <w:jc w:val="both"/>
        <w:rPr>
          <w:rFonts w:asciiTheme="majorBidi" w:hAnsiTheme="majorBidi" w:cstheme="majorBidi"/>
          <w:noProof/>
          <w:sz w:val="24"/>
          <w:szCs w:val="32"/>
        </w:rPr>
      </w:pPr>
      <w:r w:rsidRPr="00A90924">
        <w:rPr>
          <w:rFonts w:asciiTheme="majorBidi" w:hAnsiTheme="majorBidi" w:cstheme="majorBidi"/>
          <w:noProof/>
          <w:sz w:val="24"/>
          <w:szCs w:val="32"/>
        </w:rPr>
        <w:t xml:space="preserve">Sukmadinata, N. S. (2012). </w:t>
      </w:r>
      <w:r w:rsidRPr="00A90924">
        <w:rPr>
          <w:rFonts w:asciiTheme="majorBidi" w:hAnsiTheme="majorBidi" w:cstheme="majorBidi"/>
          <w:i/>
          <w:iCs/>
          <w:noProof/>
          <w:sz w:val="24"/>
          <w:szCs w:val="32"/>
        </w:rPr>
        <w:t>Metode Penelitian Pendidikan</w:t>
      </w:r>
      <w:r w:rsidRPr="00A90924">
        <w:rPr>
          <w:rFonts w:asciiTheme="majorBidi" w:hAnsiTheme="majorBidi" w:cstheme="majorBidi"/>
          <w:noProof/>
          <w:sz w:val="24"/>
          <w:szCs w:val="32"/>
        </w:rPr>
        <w:t>. Bandung: PT Remaja Rosdakarya.</w:t>
      </w:r>
    </w:p>
    <w:p w:rsidR="00100EF8" w:rsidRPr="00A90924" w:rsidRDefault="00100EF8" w:rsidP="00100EF8">
      <w:pPr>
        <w:widowControl w:val="0"/>
        <w:autoSpaceDE w:val="0"/>
        <w:autoSpaceDN w:val="0"/>
        <w:adjustRightInd w:val="0"/>
        <w:ind w:left="480" w:hanging="480"/>
        <w:jc w:val="both"/>
        <w:rPr>
          <w:rFonts w:asciiTheme="majorBidi" w:hAnsiTheme="majorBidi" w:cstheme="majorBidi"/>
          <w:noProof/>
          <w:sz w:val="24"/>
          <w:szCs w:val="32"/>
        </w:rPr>
      </w:pPr>
      <w:r w:rsidRPr="00A90924">
        <w:rPr>
          <w:rFonts w:asciiTheme="majorBidi" w:hAnsiTheme="majorBidi" w:cstheme="majorBidi"/>
          <w:noProof/>
          <w:sz w:val="24"/>
          <w:szCs w:val="32"/>
        </w:rPr>
        <w:t xml:space="preserve">Tchamyou, V. S. (2018). Education, lifelong learning, inequality and financial access: Evidence from African countries. </w:t>
      </w:r>
      <w:r w:rsidRPr="00A90924">
        <w:rPr>
          <w:rFonts w:asciiTheme="majorBidi" w:hAnsiTheme="majorBidi" w:cstheme="majorBidi"/>
          <w:i/>
          <w:iCs/>
          <w:noProof/>
          <w:sz w:val="24"/>
          <w:szCs w:val="32"/>
        </w:rPr>
        <w:t>Contemporary Social Science Journal of the Academy of Social Sciences</w:t>
      </w:r>
      <w:r w:rsidRPr="00A90924">
        <w:rPr>
          <w:rFonts w:asciiTheme="majorBidi" w:hAnsiTheme="majorBidi" w:cstheme="majorBidi"/>
          <w:noProof/>
          <w:sz w:val="24"/>
          <w:szCs w:val="32"/>
        </w:rPr>
        <w:t>, 1–9. https://doi.org/10.1080/21582041.2018.1433314</w:t>
      </w:r>
    </w:p>
    <w:p w:rsidR="00100EF8" w:rsidRPr="00A90924" w:rsidRDefault="00100EF8" w:rsidP="00100EF8">
      <w:pPr>
        <w:widowControl w:val="0"/>
        <w:autoSpaceDE w:val="0"/>
        <w:autoSpaceDN w:val="0"/>
        <w:adjustRightInd w:val="0"/>
        <w:ind w:left="480" w:hanging="480"/>
        <w:jc w:val="both"/>
        <w:rPr>
          <w:rFonts w:asciiTheme="majorBidi" w:hAnsiTheme="majorBidi" w:cstheme="majorBidi"/>
          <w:noProof/>
          <w:sz w:val="24"/>
          <w:szCs w:val="32"/>
        </w:rPr>
      </w:pPr>
      <w:r w:rsidRPr="00A90924">
        <w:rPr>
          <w:rFonts w:asciiTheme="majorBidi" w:hAnsiTheme="majorBidi" w:cstheme="majorBidi"/>
          <w:noProof/>
          <w:sz w:val="24"/>
          <w:szCs w:val="32"/>
        </w:rPr>
        <w:t xml:space="preserve">Tilaar, H. (2002). </w:t>
      </w:r>
      <w:r w:rsidRPr="00A90924">
        <w:rPr>
          <w:rFonts w:asciiTheme="majorBidi" w:hAnsiTheme="majorBidi" w:cstheme="majorBidi"/>
          <w:i/>
          <w:iCs/>
          <w:noProof/>
          <w:sz w:val="24"/>
          <w:szCs w:val="32"/>
        </w:rPr>
        <w:t>Perubahan Sosial dan Pendidikan</w:t>
      </w:r>
      <w:r w:rsidRPr="00A90924">
        <w:rPr>
          <w:rFonts w:asciiTheme="majorBidi" w:hAnsiTheme="majorBidi" w:cstheme="majorBidi"/>
          <w:noProof/>
          <w:sz w:val="24"/>
          <w:szCs w:val="32"/>
        </w:rPr>
        <w:t>. Jakarta: Grasindo.</w:t>
      </w:r>
    </w:p>
    <w:p w:rsidR="00100EF8" w:rsidRPr="00A90924" w:rsidRDefault="00100EF8" w:rsidP="00100EF8">
      <w:pPr>
        <w:widowControl w:val="0"/>
        <w:autoSpaceDE w:val="0"/>
        <w:autoSpaceDN w:val="0"/>
        <w:adjustRightInd w:val="0"/>
        <w:ind w:left="480" w:hanging="480"/>
        <w:jc w:val="both"/>
        <w:rPr>
          <w:rFonts w:asciiTheme="majorBidi" w:hAnsiTheme="majorBidi" w:cstheme="majorBidi"/>
          <w:noProof/>
          <w:sz w:val="24"/>
          <w:szCs w:val="32"/>
        </w:rPr>
      </w:pPr>
      <w:r w:rsidRPr="00A90924">
        <w:rPr>
          <w:rFonts w:asciiTheme="majorBidi" w:hAnsiTheme="majorBidi" w:cstheme="majorBidi"/>
          <w:noProof/>
          <w:sz w:val="24"/>
          <w:szCs w:val="32"/>
        </w:rPr>
        <w:t xml:space="preserve">Ulfatin, N., Mukhadis, A., &amp; Imron, A. (2010). Profil Wajib Belajar 9 Tahun dan Alternatif Penuntasannya. </w:t>
      </w:r>
      <w:r w:rsidRPr="00A90924">
        <w:rPr>
          <w:rFonts w:asciiTheme="majorBidi" w:hAnsiTheme="majorBidi" w:cstheme="majorBidi"/>
          <w:i/>
          <w:iCs/>
          <w:noProof/>
          <w:sz w:val="24"/>
          <w:szCs w:val="32"/>
        </w:rPr>
        <w:t>Jurnal Ilmu Pendidikan</w:t>
      </w:r>
      <w:r w:rsidRPr="00A90924">
        <w:rPr>
          <w:rFonts w:asciiTheme="majorBidi" w:hAnsiTheme="majorBidi" w:cstheme="majorBidi"/>
          <w:noProof/>
          <w:sz w:val="24"/>
          <w:szCs w:val="32"/>
        </w:rPr>
        <w:t xml:space="preserve">, </w:t>
      </w:r>
      <w:r w:rsidRPr="00A90924">
        <w:rPr>
          <w:rFonts w:asciiTheme="majorBidi" w:hAnsiTheme="majorBidi" w:cstheme="majorBidi"/>
          <w:i/>
          <w:iCs/>
          <w:noProof/>
          <w:sz w:val="24"/>
          <w:szCs w:val="32"/>
        </w:rPr>
        <w:t>17</w:t>
      </w:r>
      <w:r w:rsidRPr="00A90924">
        <w:rPr>
          <w:rFonts w:asciiTheme="majorBidi" w:hAnsiTheme="majorBidi" w:cstheme="majorBidi"/>
          <w:noProof/>
          <w:sz w:val="24"/>
          <w:szCs w:val="32"/>
        </w:rPr>
        <w:t>(1), 36–45. Retrieved from http://journal.um.ac.id/index.php/jip/article/view/2618</w:t>
      </w:r>
    </w:p>
    <w:p w:rsidR="00100EF8" w:rsidRPr="00A90924" w:rsidRDefault="00100EF8" w:rsidP="00100EF8">
      <w:pPr>
        <w:widowControl w:val="0"/>
        <w:autoSpaceDE w:val="0"/>
        <w:autoSpaceDN w:val="0"/>
        <w:adjustRightInd w:val="0"/>
        <w:ind w:left="480" w:hanging="480"/>
        <w:jc w:val="both"/>
        <w:rPr>
          <w:rFonts w:asciiTheme="majorBidi" w:hAnsiTheme="majorBidi" w:cstheme="majorBidi"/>
          <w:noProof/>
          <w:sz w:val="24"/>
          <w:szCs w:val="32"/>
        </w:rPr>
      </w:pPr>
      <w:r w:rsidRPr="00A90924">
        <w:rPr>
          <w:rFonts w:asciiTheme="majorBidi" w:hAnsiTheme="majorBidi" w:cstheme="majorBidi"/>
          <w:noProof/>
          <w:sz w:val="24"/>
          <w:szCs w:val="32"/>
        </w:rPr>
        <w:t>UNDP. (2017). Human Development Data (1990-2017). Retrieved October 20, 2019, from Human Development Reports website: http://hdr.undp.org/en/data</w:t>
      </w:r>
    </w:p>
    <w:p w:rsidR="00100EF8" w:rsidRPr="00A90924" w:rsidRDefault="00100EF8" w:rsidP="00100EF8">
      <w:pPr>
        <w:widowControl w:val="0"/>
        <w:autoSpaceDE w:val="0"/>
        <w:autoSpaceDN w:val="0"/>
        <w:adjustRightInd w:val="0"/>
        <w:ind w:left="480" w:hanging="480"/>
        <w:jc w:val="both"/>
        <w:rPr>
          <w:rFonts w:asciiTheme="majorBidi" w:hAnsiTheme="majorBidi" w:cstheme="majorBidi"/>
          <w:noProof/>
          <w:sz w:val="24"/>
          <w:szCs w:val="32"/>
        </w:rPr>
      </w:pPr>
      <w:r w:rsidRPr="00A90924">
        <w:rPr>
          <w:rFonts w:asciiTheme="majorBidi" w:hAnsiTheme="majorBidi" w:cstheme="majorBidi"/>
          <w:noProof/>
          <w:sz w:val="24"/>
          <w:szCs w:val="32"/>
        </w:rPr>
        <w:t xml:space="preserve">Wassahua, S. (2016). Analisis Faktor - Faktor Penyebab Anak Putus Sekolah Di Kampung Wara Negeri Hative Kecil Kota Ambon. </w:t>
      </w:r>
      <w:r w:rsidRPr="00A90924">
        <w:rPr>
          <w:rFonts w:asciiTheme="majorBidi" w:hAnsiTheme="majorBidi" w:cstheme="majorBidi"/>
          <w:i/>
          <w:iCs/>
          <w:noProof/>
          <w:sz w:val="24"/>
          <w:szCs w:val="32"/>
        </w:rPr>
        <w:t>Al - Iltizam</w:t>
      </w:r>
      <w:r w:rsidRPr="00A90924">
        <w:rPr>
          <w:rFonts w:asciiTheme="majorBidi" w:hAnsiTheme="majorBidi" w:cstheme="majorBidi"/>
          <w:noProof/>
          <w:sz w:val="24"/>
          <w:szCs w:val="32"/>
        </w:rPr>
        <w:t xml:space="preserve">, </w:t>
      </w:r>
      <w:r w:rsidRPr="00A90924">
        <w:rPr>
          <w:rFonts w:asciiTheme="majorBidi" w:hAnsiTheme="majorBidi" w:cstheme="majorBidi"/>
          <w:i/>
          <w:iCs/>
          <w:noProof/>
          <w:sz w:val="24"/>
          <w:szCs w:val="32"/>
        </w:rPr>
        <w:t>1</w:t>
      </w:r>
      <w:r w:rsidRPr="00A90924">
        <w:rPr>
          <w:rFonts w:asciiTheme="majorBidi" w:hAnsiTheme="majorBidi" w:cstheme="majorBidi"/>
          <w:noProof/>
          <w:sz w:val="24"/>
          <w:szCs w:val="32"/>
        </w:rPr>
        <w:t xml:space="preserve">(2), 93–113. Retrieved from </w:t>
      </w:r>
      <w:r w:rsidRPr="00A90924">
        <w:rPr>
          <w:rFonts w:asciiTheme="majorBidi" w:hAnsiTheme="majorBidi" w:cstheme="majorBidi"/>
          <w:noProof/>
          <w:sz w:val="24"/>
          <w:szCs w:val="32"/>
        </w:rPr>
        <w:lastRenderedPageBreak/>
        <w:t>https://jurnal.iainambon.ac.id/index.php/ALT/article/view/199</w:t>
      </w:r>
    </w:p>
    <w:p w:rsidR="00100EF8" w:rsidRPr="00A90924" w:rsidRDefault="00100EF8" w:rsidP="00100EF8">
      <w:pPr>
        <w:widowControl w:val="0"/>
        <w:autoSpaceDE w:val="0"/>
        <w:autoSpaceDN w:val="0"/>
        <w:adjustRightInd w:val="0"/>
        <w:ind w:left="480" w:hanging="480"/>
        <w:jc w:val="both"/>
        <w:rPr>
          <w:rFonts w:asciiTheme="majorBidi" w:hAnsiTheme="majorBidi" w:cstheme="majorBidi"/>
          <w:noProof/>
          <w:sz w:val="24"/>
          <w:szCs w:val="32"/>
        </w:rPr>
      </w:pPr>
      <w:r w:rsidRPr="00A90924">
        <w:rPr>
          <w:rFonts w:asciiTheme="majorBidi" w:hAnsiTheme="majorBidi" w:cstheme="majorBidi"/>
          <w:noProof/>
          <w:sz w:val="24"/>
          <w:szCs w:val="32"/>
        </w:rPr>
        <w:t xml:space="preserve">Wiratama, H. (2015). </w:t>
      </w:r>
      <w:r w:rsidRPr="00A90924">
        <w:rPr>
          <w:rFonts w:asciiTheme="majorBidi" w:hAnsiTheme="majorBidi" w:cstheme="majorBidi"/>
          <w:i/>
          <w:iCs/>
          <w:noProof/>
          <w:sz w:val="24"/>
          <w:szCs w:val="32"/>
        </w:rPr>
        <w:t>Analisis Persebaran Dan Ketersediaan Sekolah Menengah Di Kota Tanjungbalai Tahun 2014</w:t>
      </w:r>
      <w:r w:rsidRPr="00A90924">
        <w:rPr>
          <w:rFonts w:asciiTheme="majorBidi" w:hAnsiTheme="majorBidi" w:cstheme="majorBidi"/>
          <w:noProof/>
          <w:sz w:val="24"/>
          <w:szCs w:val="32"/>
        </w:rPr>
        <w:t>. Retrieved from http://digilib.unimed.ac.id/22138/</w:t>
      </w:r>
    </w:p>
    <w:p w:rsidR="0053364B" w:rsidRDefault="006128CC" w:rsidP="00100EF8">
      <w:pPr>
        <w:spacing w:after="0" w:line="240" w:lineRule="auto"/>
        <w:ind w:right="-5"/>
        <w:jc w:val="both"/>
        <w:rPr>
          <w:rFonts w:ascii="Times New Roman" w:hAnsi="Times New Roman" w:cs="Times New Roman"/>
          <w:sz w:val="24"/>
          <w:szCs w:val="24"/>
          <w:lang w:val="en-US"/>
        </w:rPr>
      </w:pPr>
      <w:r w:rsidRPr="00A90924">
        <w:rPr>
          <w:rFonts w:asciiTheme="majorBidi" w:hAnsiTheme="majorBidi" w:cstheme="majorBidi"/>
          <w:iCs/>
          <w:sz w:val="24"/>
          <w:szCs w:val="28"/>
          <w:lang w:val="en-GB"/>
        </w:rPr>
        <w:fldChar w:fldCharType="end"/>
      </w:r>
    </w:p>
    <w:p w:rsidR="0053364B" w:rsidRDefault="0053364B" w:rsidP="0083092B">
      <w:pPr>
        <w:spacing w:after="0" w:line="240" w:lineRule="auto"/>
        <w:ind w:right="-5"/>
        <w:jc w:val="both"/>
        <w:rPr>
          <w:rFonts w:ascii="Times New Roman" w:hAnsi="Times New Roman" w:cs="Times New Roman"/>
          <w:sz w:val="24"/>
          <w:szCs w:val="24"/>
          <w:lang w:val="en-US"/>
        </w:rPr>
      </w:pPr>
    </w:p>
    <w:p w:rsidR="00264D84" w:rsidRDefault="00264D84" w:rsidP="0083092B">
      <w:pPr>
        <w:spacing w:after="0" w:line="240" w:lineRule="auto"/>
        <w:ind w:right="-5"/>
        <w:jc w:val="both"/>
        <w:rPr>
          <w:rFonts w:ascii="Times New Roman" w:hAnsi="Times New Roman" w:cs="Times New Roman"/>
          <w:sz w:val="24"/>
          <w:szCs w:val="24"/>
          <w:lang w:val="en-US"/>
        </w:rPr>
      </w:pPr>
    </w:p>
    <w:p w:rsidR="00BA03BA" w:rsidRPr="00716669" w:rsidRDefault="00BA03BA" w:rsidP="00BA03BA">
      <w:pPr>
        <w:spacing w:after="0" w:line="276" w:lineRule="auto"/>
        <w:ind w:left="709" w:right="-5" w:hanging="709"/>
        <w:jc w:val="both"/>
        <w:rPr>
          <w:rFonts w:ascii="Times New Roman" w:hAnsi="Times New Roman" w:cs="Times New Roman"/>
          <w:sz w:val="24"/>
          <w:szCs w:val="24"/>
          <w:lang w:val="en-US"/>
        </w:rPr>
      </w:pPr>
    </w:p>
    <w:sectPr w:rsidR="00BA03BA" w:rsidRPr="00716669" w:rsidSect="00162BEE">
      <w:headerReference w:type="default" r:id="rId11"/>
      <w:footerReference w:type="default" r:id="rId12"/>
      <w:headerReference w:type="first" r:id="rId13"/>
      <w:type w:val="continuous"/>
      <w:pgSz w:w="11906" w:h="16838"/>
      <w:pgMar w:top="831" w:right="1440" w:bottom="1440" w:left="1440" w:header="709" w:footer="709" w:gutter="0"/>
      <w:pgNumType w:start="156"/>
      <w:cols w:space="28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26533" w:rsidRDefault="00626533">
      <w:pPr>
        <w:spacing w:after="0" w:line="240" w:lineRule="auto"/>
      </w:pPr>
      <w:r>
        <w:separator/>
      </w:r>
    </w:p>
  </w:endnote>
  <w:endnote w:type="continuationSeparator" w:id="1">
    <w:p w:rsidR="00626533" w:rsidRDefault="0062653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Brush Script Std">
    <w:altName w:val="Brush Script MT"/>
    <w:panose1 w:val="00000000000000000000"/>
    <w:charset w:val="00"/>
    <w:family w:val="script"/>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7755" w:rsidRPr="00FC7755" w:rsidRDefault="00215682">
    <w:pPr>
      <w:pBdr>
        <w:top w:val="nil"/>
        <w:left w:val="nil"/>
        <w:bottom w:val="nil"/>
        <w:right w:val="nil"/>
        <w:between w:val="nil"/>
      </w:pBdr>
      <w:tabs>
        <w:tab w:val="center" w:pos="4680"/>
        <w:tab w:val="right" w:pos="9360"/>
      </w:tabs>
      <w:spacing w:after="0" w:line="240" w:lineRule="auto"/>
      <w:jc w:val="right"/>
      <w:rPr>
        <w:rFonts w:ascii="Times New Roman" w:eastAsia="Times New Roman" w:hAnsi="Times New Roman" w:cs="Times New Roman"/>
        <w:i/>
        <w:color w:val="000000"/>
        <w:sz w:val="20"/>
        <w:szCs w:val="20"/>
        <w:lang w:val="en-US"/>
      </w:rPr>
    </w:pPr>
    <w:r w:rsidRPr="00407C7E">
      <w:rPr>
        <w:rFonts w:ascii="Cambria" w:eastAsia="Brush Script Std" w:hAnsi="Cambria" w:cs="Brush Script Std"/>
        <w:b/>
        <w:color w:val="000000"/>
        <w:sz w:val="20"/>
        <w:szCs w:val="20"/>
      </w:rPr>
      <w:t>Jurnal Kependidikan</w:t>
    </w:r>
    <w:r w:rsidRPr="00FC7755">
      <w:rPr>
        <w:rFonts w:ascii="Times New Roman" w:eastAsia="Times New Roman" w:hAnsi="Times New Roman" w:cs="Times New Roman"/>
        <w:i/>
        <w:color w:val="000000"/>
        <w:sz w:val="20"/>
        <w:szCs w:val="20"/>
      </w:rPr>
      <w:t xml:space="preserve"> </w:t>
    </w:r>
    <w:r w:rsidR="00264D84">
      <w:rPr>
        <w:rFonts w:ascii="Times New Roman" w:eastAsia="Times New Roman" w:hAnsi="Times New Roman" w:cs="Times New Roman"/>
        <w:i/>
        <w:color w:val="000000"/>
        <w:sz w:val="20"/>
        <w:szCs w:val="20"/>
        <w:lang w:val="en-US"/>
      </w:rPr>
      <w:t>month year</w:t>
    </w:r>
    <w:r w:rsidR="00264D84">
      <w:rPr>
        <w:rFonts w:ascii="Times New Roman" w:eastAsia="Times New Roman" w:hAnsi="Times New Roman" w:cs="Times New Roman"/>
        <w:i/>
        <w:color w:val="000000"/>
        <w:sz w:val="20"/>
        <w:szCs w:val="20"/>
      </w:rPr>
      <w:t>. Vol</w:t>
    </w:r>
    <w:r w:rsidR="00F37088" w:rsidRPr="00FC7755">
      <w:rPr>
        <w:rFonts w:ascii="Times New Roman" w:eastAsia="Times New Roman" w:hAnsi="Times New Roman" w:cs="Times New Roman"/>
        <w:i/>
        <w:color w:val="000000"/>
        <w:sz w:val="20"/>
        <w:szCs w:val="20"/>
        <w:lang w:val="en-US"/>
      </w:rPr>
      <w:t>,</w:t>
    </w:r>
    <w:r w:rsidRPr="00FC7755">
      <w:rPr>
        <w:rFonts w:ascii="Times New Roman" w:eastAsia="Times New Roman" w:hAnsi="Times New Roman" w:cs="Times New Roman"/>
        <w:i/>
        <w:color w:val="000000"/>
        <w:sz w:val="20"/>
        <w:szCs w:val="20"/>
      </w:rPr>
      <w:t xml:space="preserve"> No.</w:t>
    </w:r>
  </w:p>
  <w:p w:rsidR="009A4BBB" w:rsidRPr="0053364B" w:rsidRDefault="00FC7755">
    <w:pPr>
      <w:pBdr>
        <w:top w:val="nil"/>
        <w:left w:val="nil"/>
        <w:bottom w:val="nil"/>
        <w:right w:val="nil"/>
        <w:between w:val="nil"/>
      </w:pBdr>
      <w:tabs>
        <w:tab w:val="center" w:pos="4680"/>
        <w:tab w:val="right" w:pos="9360"/>
      </w:tabs>
      <w:spacing w:after="0" w:line="240" w:lineRule="auto"/>
      <w:jc w:val="right"/>
      <w:rPr>
        <w:color w:val="000000"/>
        <w:sz w:val="20"/>
        <w:szCs w:val="20"/>
        <w:lang w:val="en-US"/>
      </w:rPr>
    </w:pPr>
    <w:r w:rsidRPr="00FC7755">
      <w:rPr>
        <w:rFonts w:ascii="Times New Roman" w:eastAsia="Times New Roman" w:hAnsi="Times New Roman" w:cs="Times New Roman"/>
        <w:i/>
        <w:color w:val="000000"/>
        <w:sz w:val="20"/>
        <w:szCs w:val="20"/>
        <w:lang w:val="en-US"/>
      </w:rPr>
      <w:t xml:space="preserve">Copyright © </w:t>
    </w:r>
    <w:r w:rsidR="00DE5E1C">
      <w:rPr>
        <w:rFonts w:ascii="Times New Roman" w:eastAsia="Times New Roman" w:hAnsi="Times New Roman" w:cs="Times New Roman"/>
        <w:i/>
        <w:color w:val="000000"/>
        <w:sz w:val="20"/>
        <w:szCs w:val="20"/>
        <w:lang w:val="en-US"/>
      </w:rPr>
      <w:t>JK</w:t>
    </w:r>
    <w:r w:rsidR="00407C7E">
      <w:rPr>
        <w:rFonts w:ascii="Times New Roman" w:eastAsia="Times New Roman" w:hAnsi="Times New Roman" w:cs="Times New Roman"/>
        <w:i/>
        <w:color w:val="000000"/>
        <w:sz w:val="20"/>
        <w:szCs w:val="20"/>
        <w:lang w:val="en-US"/>
      </w:rPr>
      <w:t xml:space="preserve">, </w:t>
    </w:r>
    <w:r w:rsidR="00264D84">
      <w:rPr>
        <w:rFonts w:ascii="Times New Roman" w:hAnsi="Times New Roman" w:cs="Times New Roman"/>
        <w:sz w:val="20"/>
        <w:szCs w:val="20"/>
        <w:lang w:val="en-US"/>
      </w:rPr>
      <w:t>Authors</w:t>
    </w:r>
    <w:r w:rsidR="00215682" w:rsidRPr="00FC7755">
      <w:rPr>
        <w:rFonts w:ascii="Times New Roman" w:eastAsia="Times New Roman" w:hAnsi="Times New Roman" w:cs="Times New Roman"/>
        <w:i/>
        <w:color w:val="000000"/>
        <w:sz w:val="20"/>
        <w:szCs w:val="20"/>
      </w:rPr>
      <w:tab/>
    </w:r>
    <w:r w:rsidR="00215682" w:rsidRPr="00FC7755">
      <w:rPr>
        <w:rFonts w:ascii="Times New Roman" w:eastAsia="Times New Roman" w:hAnsi="Times New Roman" w:cs="Times New Roman"/>
        <w:i/>
        <w:color w:val="000000"/>
        <w:sz w:val="20"/>
        <w:szCs w:val="20"/>
      </w:rPr>
      <w:tab/>
    </w:r>
  </w:p>
  <w:p w:rsidR="009A4BBB" w:rsidRPr="00FC7755" w:rsidRDefault="009A4BBB">
    <w:pPr>
      <w:pBdr>
        <w:top w:val="nil"/>
        <w:left w:val="nil"/>
        <w:bottom w:val="nil"/>
        <w:right w:val="nil"/>
        <w:between w:val="nil"/>
      </w:pBdr>
      <w:tabs>
        <w:tab w:val="center" w:pos="4680"/>
        <w:tab w:val="right" w:pos="9360"/>
      </w:tabs>
      <w:spacing w:after="0" w:line="240" w:lineRule="auto"/>
      <w:rPr>
        <w:color w:val="000000"/>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26533" w:rsidRDefault="00626533">
      <w:pPr>
        <w:spacing w:after="0" w:line="240" w:lineRule="auto"/>
      </w:pPr>
      <w:r>
        <w:separator/>
      </w:r>
    </w:p>
  </w:footnote>
  <w:footnote w:type="continuationSeparator" w:id="1">
    <w:p w:rsidR="00626533" w:rsidRDefault="0062653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4BBB" w:rsidRDefault="009A4BBB">
    <w:pPr>
      <w:widowControl w:val="0"/>
      <w:pBdr>
        <w:top w:val="nil"/>
        <w:left w:val="nil"/>
        <w:bottom w:val="nil"/>
        <w:right w:val="nil"/>
        <w:between w:val="nil"/>
      </w:pBdr>
      <w:spacing w:after="0" w:line="276" w:lineRule="auto"/>
    </w:pPr>
  </w:p>
  <w:tbl>
    <w:tblPr>
      <w:tblW w:w="9288" w:type="dxa"/>
      <w:tblBorders>
        <w:bottom w:val="thinThickSmallGap" w:sz="24" w:space="0" w:color="auto"/>
      </w:tblBorders>
      <w:tblLayout w:type="fixed"/>
      <w:tblLook w:val="0400"/>
    </w:tblPr>
    <w:tblGrid>
      <w:gridCol w:w="1242"/>
      <w:gridCol w:w="5436"/>
      <w:gridCol w:w="2610"/>
    </w:tblGrid>
    <w:tr w:rsidR="00575D31" w:rsidTr="00801967">
      <w:trPr>
        <w:trHeight w:val="1032"/>
      </w:trPr>
      <w:tc>
        <w:tcPr>
          <w:tcW w:w="1242" w:type="dxa"/>
        </w:tcPr>
        <w:p w:rsidR="00575D31" w:rsidRPr="00C3780F" w:rsidRDefault="00100EF8" w:rsidP="007B4E4E">
          <w:pPr>
            <w:pBdr>
              <w:top w:val="nil"/>
              <w:left w:val="nil"/>
              <w:bottom w:val="nil"/>
              <w:right w:val="nil"/>
              <w:between w:val="nil"/>
            </w:pBdr>
            <w:tabs>
              <w:tab w:val="center" w:pos="4680"/>
              <w:tab w:val="right" w:pos="9360"/>
            </w:tabs>
            <w:spacing w:after="0" w:line="240" w:lineRule="auto"/>
            <w:rPr>
              <w:rFonts w:ascii="Times New Roman" w:eastAsia="Times New Roman" w:hAnsi="Times New Roman" w:cs="Times New Roman"/>
              <w:b/>
              <w:color w:val="000000"/>
              <w:sz w:val="20"/>
              <w:szCs w:val="20"/>
            </w:rPr>
          </w:pPr>
          <w:r>
            <w:rPr>
              <w:rFonts w:ascii="Times New Roman" w:eastAsia="Times New Roman" w:hAnsi="Times New Roman" w:cs="Times New Roman"/>
              <w:b/>
              <w:noProof/>
              <w:color w:val="000000"/>
              <w:sz w:val="20"/>
              <w:szCs w:val="20"/>
              <w:lang w:val="en-GB" w:eastAsia="en-GB"/>
            </w:rPr>
            <w:drawing>
              <wp:inline distT="0" distB="0" distL="0" distR="0">
                <wp:extent cx="723900" cy="561975"/>
                <wp:effectExtent l="19050" t="0" r="0" b="0"/>
                <wp:docPr id="3" name="Picture 1" descr="D:\1. Kelola Jurnal IKIP\JK\Vol 16 No 1 2017\FIx\Logo Jurnal LPP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1. Kelola Jurnal IKIP\JK\Vol 16 No 1 2017\FIx\Logo Jurnal LPPM.png"/>
                        <pic:cNvPicPr>
                          <a:picLocks noChangeAspect="1" noChangeArrowheads="1"/>
                        </pic:cNvPicPr>
                      </pic:nvPicPr>
                      <pic:blipFill>
                        <a:blip r:embed="rId1"/>
                        <a:srcRect/>
                        <a:stretch>
                          <a:fillRect/>
                        </a:stretch>
                      </pic:blipFill>
                      <pic:spPr bwMode="auto">
                        <a:xfrm>
                          <a:off x="0" y="0"/>
                          <a:ext cx="723900" cy="561975"/>
                        </a:xfrm>
                        <a:prstGeom prst="rect">
                          <a:avLst/>
                        </a:prstGeom>
                        <a:noFill/>
                        <a:ln w="9525">
                          <a:noFill/>
                          <a:miter lim="800000"/>
                          <a:headEnd/>
                          <a:tailEnd/>
                        </a:ln>
                      </pic:spPr>
                    </pic:pic>
                  </a:graphicData>
                </a:graphic>
              </wp:inline>
            </w:drawing>
          </w:r>
        </w:p>
      </w:tc>
      <w:tc>
        <w:tcPr>
          <w:tcW w:w="5436" w:type="dxa"/>
        </w:tcPr>
        <w:p w:rsidR="00575D31" w:rsidRPr="003C42B0" w:rsidRDefault="00575D31" w:rsidP="007B4E4E">
          <w:pPr>
            <w:pBdr>
              <w:top w:val="nil"/>
              <w:left w:val="nil"/>
              <w:bottom w:val="nil"/>
              <w:right w:val="nil"/>
              <w:between w:val="nil"/>
            </w:pBdr>
            <w:tabs>
              <w:tab w:val="center" w:pos="4680"/>
              <w:tab w:val="right" w:pos="9360"/>
            </w:tabs>
            <w:spacing w:after="0" w:line="240" w:lineRule="auto"/>
            <w:rPr>
              <w:rFonts w:ascii="Times New Roman" w:eastAsia="Times New Roman" w:hAnsi="Times New Roman" w:cs="Times New Roman"/>
              <w:b/>
              <w:color w:val="000000"/>
              <w:sz w:val="24"/>
              <w:szCs w:val="24"/>
              <w:lang w:val="en-US"/>
            </w:rPr>
          </w:pPr>
          <w:r w:rsidRPr="003C42B0">
            <w:rPr>
              <w:rFonts w:ascii="Times New Roman" w:eastAsia="Times New Roman" w:hAnsi="Times New Roman" w:cs="Times New Roman"/>
              <w:b/>
              <w:color w:val="000000"/>
              <w:sz w:val="24"/>
              <w:szCs w:val="24"/>
            </w:rPr>
            <w:t xml:space="preserve">Jurnal Kependidikan: </w:t>
          </w:r>
        </w:p>
        <w:p w:rsidR="00FC7755" w:rsidRDefault="00575D31" w:rsidP="007B4E4E">
          <w:pPr>
            <w:pBdr>
              <w:top w:val="nil"/>
              <w:left w:val="nil"/>
              <w:bottom w:val="nil"/>
              <w:right w:val="nil"/>
              <w:between w:val="nil"/>
            </w:pBdr>
            <w:tabs>
              <w:tab w:val="center" w:pos="4680"/>
              <w:tab w:val="right" w:pos="9360"/>
            </w:tabs>
            <w:spacing w:after="0" w:line="240" w:lineRule="auto"/>
            <w:rPr>
              <w:rFonts w:ascii="Times New Roman" w:eastAsia="Times New Roman" w:hAnsi="Times New Roman" w:cs="Times New Roman"/>
              <w:b/>
              <w:color w:val="000000"/>
              <w:sz w:val="20"/>
              <w:szCs w:val="20"/>
              <w:lang w:val="en-US"/>
            </w:rPr>
          </w:pPr>
          <w:r w:rsidRPr="00C3780F">
            <w:rPr>
              <w:rFonts w:ascii="Times New Roman" w:eastAsia="Times New Roman" w:hAnsi="Times New Roman" w:cs="Times New Roman"/>
              <w:b/>
              <w:color w:val="000000"/>
              <w:sz w:val="20"/>
              <w:szCs w:val="20"/>
            </w:rPr>
            <w:t xml:space="preserve">Jurnal Hasil Penelitian dan Kajian Kepustakaan </w:t>
          </w:r>
        </w:p>
        <w:p w:rsidR="00575D31" w:rsidRPr="00C3780F" w:rsidRDefault="00575D31" w:rsidP="007B4E4E">
          <w:pPr>
            <w:pBdr>
              <w:top w:val="nil"/>
              <w:left w:val="nil"/>
              <w:bottom w:val="nil"/>
              <w:right w:val="nil"/>
              <w:between w:val="nil"/>
            </w:pBdr>
            <w:tabs>
              <w:tab w:val="center" w:pos="4680"/>
              <w:tab w:val="right" w:pos="9360"/>
            </w:tabs>
            <w:spacing w:after="0" w:line="240" w:lineRule="auto"/>
            <w:rPr>
              <w:b/>
              <w:i/>
              <w:color w:val="000000"/>
              <w:sz w:val="18"/>
              <w:szCs w:val="18"/>
            </w:rPr>
          </w:pPr>
          <w:r w:rsidRPr="00C3780F">
            <w:rPr>
              <w:rFonts w:ascii="Times New Roman" w:eastAsia="Times New Roman" w:hAnsi="Times New Roman" w:cs="Times New Roman"/>
              <w:b/>
              <w:color w:val="000000"/>
              <w:sz w:val="20"/>
              <w:szCs w:val="20"/>
            </w:rPr>
            <w:t>di Bidang Pendidikan, Pengajaran dan Pembelajaran</w:t>
          </w:r>
        </w:p>
        <w:p w:rsidR="00407C7E" w:rsidRPr="00407C7E" w:rsidRDefault="006128CC" w:rsidP="007B4E4E">
          <w:pPr>
            <w:pBdr>
              <w:top w:val="nil"/>
              <w:left w:val="nil"/>
              <w:bottom w:val="nil"/>
              <w:right w:val="nil"/>
              <w:between w:val="nil"/>
            </w:pBdr>
            <w:tabs>
              <w:tab w:val="center" w:pos="4680"/>
              <w:tab w:val="right" w:pos="9360"/>
            </w:tabs>
            <w:spacing w:after="0" w:line="240" w:lineRule="auto"/>
            <w:rPr>
              <w:rFonts w:ascii="Times New Roman" w:eastAsia="Times New Roman" w:hAnsi="Times New Roman" w:cs="Times New Roman"/>
              <w:i/>
              <w:color w:val="0563C1"/>
              <w:sz w:val="20"/>
              <w:szCs w:val="20"/>
              <w:u w:val="single"/>
            </w:rPr>
          </w:pPr>
          <w:hyperlink r:id="rId2" w:history="1">
            <w:r w:rsidR="00407C7E" w:rsidRPr="003026AE">
              <w:rPr>
                <w:rStyle w:val="Hyperlink"/>
                <w:rFonts w:ascii="Times New Roman" w:eastAsia="Times New Roman" w:hAnsi="Times New Roman" w:cs="Times New Roman"/>
                <w:i/>
                <w:sz w:val="20"/>
                <w:szCs w:val="20"/>
              </w:rPr>
              <w:t>http://ojs.ikipmataram.ac.id/index.php/jurnalkependidikan/index</w:t>
            </w:r>
          </w:hyperlink>
        </w:p>
      </w:tc>
      <w:tc>
        <w:tcPr>
          <w:tcW w:w="2610" w:type="dxa"/>
        </w:tcPr>
        <w:p w:rsidR="00575D31" w:rsidRPr="00C3780F" w:rsidRDefault="00FC7755" w:rsidP="00801967">
          <w:pPr>
            <w:pBdr>
              <w:top w:val="nil"/>
              <w:left w:val="nil"/>
              <w:bottom w:val="nil"/>
              <w:right w:val="nil"/>
              <w:between w:val="nil"/>
            </w:pBdr>
            <w:tabs>
              <w:tab w:val="center" w:pos="4680"/>
              <w:tab w:val="right" w:pos="9360"/>
            </w:tabs>
            <w:spacing w:after="0" w:line="240" w:lineRule="auto"/>
            <w:rPr>
              <w:rFonts w:ascii="Times New Roman" w:eastAsia="Times New Roman" w:hAnsi="Times New Roman" w:cs="Times New Roman"/>
              <w:i/>
              <w:color w:val="000000"/>
              <w:sz w:val="20"/>
              <w:szCs w:val="20"/>
            </w:rPr>
          </w:pPr>
          <w:r w:rsidRPr="00407C7E">
            <w:rPr>
              <w:rFonts w:ascii="Times New Roman" w:eastAsia="Times New Roman" w:hAnsi="Times New Roman" w:cs="Times New Roman"/>
              <w:i/>
              <w:color w:val="000000"/>
              <w:sz w:val="20"/>
              <w:szCs w:val="20"/>
            </w:rPr>
            <w:t xml:space="preserve">       </w:t>
          </w:r>
          <w:r w:rsidR="00795849">
            <w:rPr>
              <w:rFonts w:ascii="Times New Roman" w:eastAsia="Times New Roman" w:hAnsi="Times New Roman" w:cs="Times New Roman"/>
              <w:i/>
              <w:color w:val="000000"/>
              <w:sz w:val="20"/>
              <w:szCs w:val="20"/>
            </w:rPr>
            <w:t xml:space="preserve"> </w:t>
          </w:r>
          <w:r w:rsidR="0053364B" w:rsidRPr="000C537E">
            <w:rPr>
              <w:rFonts w:ascii="Times New Roman" w:eastAsia="Times New Roman" w:hAnsi="Times New Roman" w:cs="Times New Roman"/>
              <w:i/>
              <w:color w:val="000000"/>
              <w:sz w:val="20"/>
              <w:szCs w:val="20"/>
            </w:rPr>
            <w:t xml:space="preserve">    </w:t>
          </w:r>
          <w:r w:rsidR="00795849">
            <w:rPr>
              <w:rFonts w:ascii="Times New Roman" w:eastAsia="Times New Roman" w:hAnsi="Times New Roman" w:cs="Times New Roman"/>
              <w:i/>
              <w:color w:val="000000"/>
              <w:sz w:val="20"/>
              <w:szCs w:val="20"/>
              <w:lang w:val="en-US"/>
            </w:rPr>
            <w:t>Month-Year</w:t>
          </w:r>
          <w:r w:rsidR="00575D31" w:rsidRPr="00C3780F">
            <w:rPr>
              <w:rFonts w:ascii="Times New Roman" w:eastAsia="Times New Roman" w:hAnsi="Times New Roman" w:cs="Times New Roman"/>
              <w:i/>
              <w:color w:val="000000"/>
              <w:sz w:val="20"/>
              <w:szCs w:val="20"/>
            </w:rPr>
            <w:t>. Vol.</w:t>
          </w:r>
          <w:r w:rsidR="00575D31">
            <w:rPr>
              <w:rFonts w:ascii="Times New Roman" w:eastAsia="Times New Roman" w:hAnsi="Times New Roman" w:cs="Times New Roman"/>
              <w:i/>
              <w:color w:val="000000"/>
              <w:sz w:val="20"/>
              <w:szCs w:val="20"/>
              <w:lang w:val="en-US"/>
            </w:rPr>
            <w:t>,</w:t>
          </w:r>
          <w:r w:rsidR="00575D31">
            <w:rPr>
              <w:rFonts w:ascii="Times New Roman" w:eastAsia="Times New Roman" w:hAnsi="Times New Roman" w:cs="Times New Roman"/>
              <w:i/>
              <w:color w:val="000000"/>
              <w:sz w:val="20"/>
              <w:szCs w:val="20"/>
            </w:rPr>
            <w:t xml:space="preserve"> No</w:t>
          </w:r>
          <w:r w:rsidR="00795849">
            <w:rPr>
              <w:rFonts w:ascii="Times New Roman" w:eastAsia="Times New Roman" w:hAnsi="Times New Roman" w:cs="Times New Roman"/>
              <w:i/>
              <w:color w:val="000000"/>
              <w:sz w:val="20"/>
              <w:szCs w:val="20"/>
              <w:lang w:val="en-US"/>
            </w:rPr>
            <w:t>.</w:t>
          </w:r>
          <w:r w:rsidR="00575D31" w:rsidRPr="00C3780F">
            <w:rPr>
              <w:rFonts w:ascii="Times New Roman" w:eastAsia="Times New Roman" w:hAnsi="Times New Roman" w:cs="Times New Roman"/>
              <w:i/>
              <w:color w:val="000000"/>
              <w:sz w:val="20"/>
              <w:szCs w:val="20"/>
            </w:rPr>
            <w:t xml:space="preserve"> </w:t>
          </w:r>
        </w:p>
        <w:p w:rsidR="00575D31" w:rsidRPr="00C3780F" w:rsidRDefault="00575D31" w:rsidP="007B4E4E">
          <w:pPr>
            <w:pBdr>
              <w:top w:val="nil"/>
              <w:left w:val="nil"/>
              <w:bottom w:val="nil"/>
              <w:right w:val="nil"/>
              <w:between w:val="nil"/>
            </w:pBdr>
            <w:tabs>
              <w:tab w:val="center" w:pos="4680"/>
              <w:tab w:val="right" w:pos="9360"/>
            </w:tabs>
            <w:spacing w:after="0" w:line="240" w:lineRule="auto"/>
            <w:jc w:val="right"/>
            <w:rPr>
              <w:rFonts w:ascii="Times New Roman" w:eastAsia="Times New Roman" w:hAnsi="Times New Roman" w:cs="Times New Roman"/>
              <w:i/>
              <w:color w:val="000000"/>
              <w:sz w:val="20"/>
              <w:szCs w:val="20"/>
            </w:rPr>
          </w:pPr>
          <w:r w:rsidRPr="00C3780F">
            <w:rPr>
              <w:rFonts w:ascii="Times New Roman" w:eastAsia="Times New Roman" w:hAnsi="Times New Roman" w:cs="Times New Roman"/>
              <w:i/>
              <w:color w:val="000000"/>
              <w:sz w:val="20"/>
              <w:szCs w:val="20"/>
            </w:rPr>
            <w:t>e-ISSN: 2</w:t>
          </w:r>
          <w:r w:rsidRPr="00C3780F">
            <w:rPr>
              <w:rFonts w:ascii="Times New Roman" w:eastAsia="Times New Roman" w:hAnsi="Times New Roman" w:cs="Times New Roman"/>
              <w:i/>
              <w:sz w:val="20"/>
              <w:szCs w:val="20"/>
            </w:rPr>
            <w:t>442</w:t>
          </w:r>
          <w:r w:rsidRPr="00C3780F">
            <w:rPr>
              <w:rFonts w:ascii="Times New Roman" w:eastAsia="Times New Roman" w:hAnsi="Times New Roman" w:cs="Times New Roman"/>
              <w:i/>
              <w:color w:val="000000"/>
              <w:sz w:val="20"/>
              <w:szCs w:val="20"/>
            </w:rPr>
            <w:t>-7</w:t>
          </w:r>
          <w:r w:rsidRPr="00C3780F">
            <w:rPr>
              <w:rFonts w:ascii="Times New Roman" w:eastAsia="Times New Roman" w:hAnsi="Times New Roman" w:cs="Times New Roman"/>
              <w:i/>
              <w:sz w:val="20"/>
              <w:szCs w:val="20"/>
            </w:rPr>
            <w:t>667</w:t>
          </w:r>
        </w:p>
        <w:p w:rsidR="008D3AFC" w:rsidRDefault="00612BBE" w:rsidP="008D3AFC">
          <w:pPr>
            <w:pBdr>
              <w:top w:val="nil"/>
              <w:left w:val="nil"/>
              <w:bottom w:val="nil"/>
              <w:right w:val="nil"/>
              <w:between w:val="nil"/>
            </w:pBdr>
            <w:tabs>
              <w:tab w:val="center" w:pos="4680"/>
              <w:tab w:val="right" w:pos="9360"/>
            </w:tabs>
            <w:spacing w:after="80" w:line="240" w:lineRule="auto"/>
            <w:jc w:val="right"/>
            <w:rPr>
              <w:rFonts w:ascii="Times New Roman" w:eastAsia="Times New Roman" w:hAnsi="Times New Roman" w:cs="Times New Roman"/>
              <w:i/>
              <w:color w:val="000000"/>
              <w:sz w:val="20"/>
              <w:szCs w:val="20"/>
              <w:lang w:val="en-US"/>
            </w:rPr>
          </w:pPr>
          <w:r>
            <w:rPr>
              <w:rFonts w:ascii="Times New Roman" w:eastAsia="Times New Roman" w:hAnsi="Times New Roman" w:cs="Times New Roman"/>
              <w:i/>
              <w:color w:val="000000"/>
              <w:sz w:val="20"/>
              <w:szCs w:val="20"/>
            </w:rPr>
            <w:t>pp</w:t>
          </w:r>
          <w:r w:rsidR="0053364B">
            <w:rPr>
              <w:rFonts w:ascii="Times New Roman" w:eastAsia="Times New Roman" w:hAnsi="Times New Roman" w:cs="Times New Roman"/>
              <w:i/>
              <w:color w:val="000000"/>
              <w:sz w:val="20"/>
              <w:szCs w:val="20"/>
              <w:lang w:val="en-US"/>
            </w:rPr>
            <w:t xml:space="preserve"> xx</w:t>
          </w:r>
          <w:r>
            <w:rPr>
              <w:rFonts w:ascii="Times New Roman" w:eastAsia="Times New Roman" w:hAnsi="Times New Roman" w:cs="Times New Roman"/>
              <w:i/>
              <w:color w:val="000000"/>
              <w:sz w:val="20"/>
              <w:szCs w:val="20"/>
              <w:lang w:val="en-US"/>
            </w:rPr>
            <w:t>.</w:t>
          </w:r>
          <w:r w:rsidR="00575D31" w:rsidRPr="00C3780F">
            <w:rPr>
              <w:rFonts w:ascii="Times New Roman" w:eastAsia="Times New Roman" w:hAnsi="Times New Roman" w:cs="Times New Roman"/>
              <w:i/>
              <w:color w:val="000000"/>
              <w:sz w:val="20"/>
              <w:szCs w:val="20"/>
            </w:rPr>
            <w:t xml:space="preserve"> </w:t>
          </w:r>
        </w:p>
        <w:p w:rsidR="00575D31" w:rsidRPr="00C3780F" w:rsidRDefault="008D3AFC" w:rsidP="007B4E4E">
          <w:pPr>
            <w:pBdr>
              <w:top w:val="nil"/>
              <w:left w:val="nil"/>
              <w:bottom w:val="nil"/>
              <w:right w:val="nil"/>
              <w:between w:val="nil"/>
            </w:pBdr>
            <w:tabs>
              <w:tab w:val="center" w:pos="4680"/>
              <w:tab w:val="right" w:pos="9360"/>
            </w:tabs>
            <w:spacing w:after="0" w:line="240" w:lineRule="auto"/>
            <w:jc w:val="right"/>
            <w:rPr>
              <w:rFonts w:ascii="Times New Roman" w:eastAsia="Times New Roman" w:hAnsi="Times New Roman" w:cs="Times New Roman"/>
              <w:i/>
              <w:color w:val="000000"/>
              <w:sz w:val="20"/>
              <w:szCs w:val="20"/>
            </w:rPr>
          </w:pPr>
          <w:r w:rsidRPr="00D908C6">
            <w:rPr>
              <w:rFonts w:ascii="Times New Roman" w:eastAsia="Times New Roman" w:hAnsi="Times New Roman" w:cs="Times New Roman"/>
              <w:i/>
              <w:color w:val="0070C0"/>
              <w:sz w:val="17"/>
              <w:szCs w:val="17"/>
              <w:u w:val="single"/>
              <w:lang w:val="en-US"/>
            </w:rPr>
            <w:t>Email: jlppm@ikipmataram.ac.id</w:t>
          </w:r>
          <w:r w:rsidR="00575D31" w:rsidRPr="00C3780F">
            <w:rPr>
              <w:rFonts w:ascii="Times New Roman" w:eastAsia="Times New Roman" w:hAnsi="Times New Roman" w:cs="Times New Roman"/>
              <w:i/>
              <w:color w:val="000000"/>
              <w:sz w:val="20"/>
              <w:szCs w:val="20"/>
            </w:rPr>
            <w:t xml:space="preserve"> </w:t>
          </w:r>
        </w:p>
      </w:tc>
    </w:tr>
  </w:tbl>
  <w:p w:rsidR="009A4BBB" w:rsidRDefault="009A4BBB">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4BBB" w:rsidRDefault="009A4BBB">
    <w:pPr>
      <w:widowControl w:val="0"/>
      <w:pBdr>
        <w:top w:val="nil"/>
        <w:left w:val="nil"/>
        <w:bottom w:val="nil"/>
        <w:right w:val="nil"/>
        <w:between w:val="nil"/>
      </w:pBdr>
      <w:spacing w:after="0" w:line="276" w:lineRule="auto"/>
      <w:rPr>
        <w:color w:val="000000"/>
      </w:rPr>
    </w:pPr>
  </w:p>
  <w:tbl>
    <w:tblPr>
      <w:tblW w:w="9039" w:type="dxa"/>
      <w:tblBorders>
        <w:top w:val="nil"/>
        <w:left w:val="nil"/>
        <w:bottom w:val="nil"/>
        <w:right w:val="nil"/>
        <w:insideH w:val="nil"/>
        <w:insideV w:val="nil"/>
      </w:tblBorders>
      <w:tblLayout w:type="fixed"/>
      <w:tblLook w:val="0400"/>
    </w:tblPr>
    <w:tblGrid>
      <w:gridCol w:w="1242"/>
      <w:gridCol w:w="5529"/>
      <w:gridCol w:w="2268"/>
    </w:tblGrid>
    <w:tr w:rsidR="00C23F10" w:rsidTr="00C3780F">
      <w:trPr>
        <w:trHeight w:val="960"/>
      </w:trPr>
      <w:tc>
        <w:tcPr>
          <w:tcW w:w="1242" w:type="dxa"/>
        </w:tcPr>
        <w:p w:rsidR="00C23F10" w:rsidRPr="00C3780F" w:rsidRDefault="00100EF8" w:rsidP="00C3780F">
          <w:pPr>
            <w:pBdr>
              <w:top w:val="nil"/>
              <w:left w:val="nil"/>
              <w:bottom w:val="nil"/>
              <w:right w:val="nil"/>
              <w:between w:val="nil"/>
            </w:pBdr>
            <w:tabs>
              <w:tab w:val="center" w:pos="4680"/>
              <w:tab w:val="right" w:pos="9360"/>
            </w:tabs>
            <w:spacing w:after="0" w:line="240" w:lineRule="auto"/>
            <w:rPr>
              <w:rFonts w:ascii="Times New Roman" w:eastAsia="Times New Roman" w:hAnsi="Times New Roman" w:cs="Times New Roman"/>
              <w:b/>
              <w:color w:val="000000"/>
              <w:sz w:val="20"/>
              <w:szCs w:val="20"/>
            </w:rPr>
          </w:pPr>
          <w:r>
            <w:rPr>
              <w:rFonts w:ascii="Times New Roman" w:eastAsia="Times New Roman" w:hAnsi="Times New Roman" w:cs="Times New Roman"/>
              <w:b/>
              <w:noProof/>
              <w:color w:val="000000"/>
              <w:sz w:val="20"/>
              <w:szCs w:val="20"/>
              <w:lang w:val="en-GB" w:eastAsia="en-GB"/>
            </w:rPr>
            <w:drawing>
              <wp:inline distT="0" distB="0" distL="0" distR="0">
                <wp:extent cx="723900" cy="561975"/>
                <wp:effectExtent l="19050" t="0" r="0" b="0"/>
                <wp:docPr id="4" name="Picture 2" descr="D:\1. Kelola Jurnal IKIP\JK\Vol 16 No 1 2017\FIx\Logo Jurnal LPP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1. Kelola Jurnal IKIP\JK\Vol 16 No 1 2017\FIx\Logo Jurnal LPPM.png"/>
                        <pic:cNvPicPr>
                          <a:picLocks noChangeAspect="1" noChangeArrowheads="1"/>
                        </pic:cNvPicPr>
                      </pic:nvPicPr>
                      <pic:blipFill>
                        <a:blip r:embed="rId1"/>
                        <a:srcRect/>
                        <a:stretch>
                          <a:fillRect/>
                        </a:stretch>
                      </pic:blipFill>
                      <pic:spPr bwMode="auto">
                        <a:xfrm>
                          <a:off x="0" y="0"/>
                          <a:ext cx="723900" cy="561975"/>
                        </a:xfrm>
                        <a:prstGeom prst="rect">
                          <a:avLst/>
                        </a:prstGeom>
                        <a:noFill/>
                        <a:ln w="9525">
                          <a:noFill/>
                          <a:miter lim="800000"/>
                          <a:headEnd/>
                          <a:tailEnd/>
                        </a:ln>
                      </pic:spPr>
                    </pic:pic>
                  </a:graphicData>
                </a:graphic>
              </wp:inline>
            </w:drawing>
          </w:r>
        </w:p>
      </w:tc>
      <w:tc>
        <w:tcPr>
          <w:tcW w:w="5529" w:type="dxa"/>
        </w:tcPr>
        <w:p w:rsidR="00C23F10" w:rsidRPr="00C3780F" w:rsidRDefault="00C23F10" w:rsidP="00C3780F">
          <w:pPr>
            <w:pBdr>
              <w:top w:val="nil"/>
              <w:left w:val="nil"/>
              <w:bottom w:val="nil"/>
              <w:right w:val="nil"/>
              <w:between w:val="nil"/>
            </w:pBdr>
            <w:tabs>
              <w:tab w:val="center" w:pos="4680"/>
              <w:tab w:val="right" w:pos="9360"/>
            </w:tabs>
            <w:spacing w:after="0" w:line="240" w:lineRule="auto"/>
            <w:rPr>
              <w:b/>
              <w:i/>
              <w:color w:val="000000"/>
              <w:sz w:val="18"/>
              <w:szCs w:val="18"/>
            </w:rPr>
          </w:pPr>
          <w:r w:rsidRPr="00C3780F">
            <w:rPr>
              <w:rFonts w:ascii="Times New Roman" w:eastAsia="Times New Roman" w:hAnsi="Times New Roman" w:cs="Times New Roman"/>
              <w:b/>
              <w:color w:val="000000"/>
              <w:sz w:val="20"/>
              <w:szCs w:val="20"/>
            </w:rPr>
            <w:t>Jurnal Kependidikan: Jurnal Hasil Penelitian dan Kajian Kepustakaan di Bidang Pendidikan, Pengajaran dan Pembelajaran</w:t>
          </w:r>
        </w:p>
        <w:p w:rsidR="00C23F10" w:rsidRPr="00C3780F" w:rsidRDefault="00C23F10" w:rsidP="00C3780F">
          <w:pPr>
            <w:pBdr>
              <w:top w:val="nil"/>
              <w:left w:val="nil"/>
              <w:bottom w:val="nil"/>
              <w:right w:val="nil"/>
              <w:between w:val="nil"/>
            </w:pBdr>
            <w:tabs>
              <w:tab w:val="center" w:pos="4680"/>
              <w:tab w:val="right" w:pos="9360"/>
            </w:tabs>
            <w:spacing w:after="0" w:line="240" w:lineRule="auto"/>
            <w:rPr>
              <w:rFonts w:ascii="Times New Roman" w:eastAsia="Times New Roman" w:hAnsi="Times New Roman" w:cs="Times New Roman"/>
              <w:i/>
              <w:color w:val="000000"/>
              <w:sz w:val="20"/>
              <w:szCs w:val="20"/>
            </w:rPr>
          </w:pPr>
          <w:r w:rsidRPr="00C3780F">
            <w:rPr>
              <w:rFonts w:ascii="Times New Roman" w:eastAsia="Times New Roman" w:hAnsi="Times New Roman" w:cs="Times New Roman"/>
              <w:i/>
              <w:color w:val="0563C1"/>
              <w:sz w:val="20"/>
              <w:szCs w:val="20"/>
              <w:u w:val="single"/>
            </w:rPr>
            <w:t>http://ojs.ikipmataram.ac.id/index.php/jurnalkependidikan/index</w:t>
          </w:r>
        </w:p>
      </w:tc>
      <w:tc>
        <w:tcPr>
          <w:tcW w:w="2268" w:type="dxa"/>
        </w:tcPr>
        <w:p w:rsidR="00C23F10" w:rsidRPr="00C3780F" w:rsidRDefault="00C23F10" w:rsidP="00C3780F">
          <w:pPr>
            <w:pBdr>
              <w:top w:val="nil"/>
              <w:left w:val="nil"/>
              <w:bottom w:val="nil"/>
              <w:right w:val="nil"/>
              <w:between w:val="nil"/>
            </w:pBdr>
            <w:tabs>
              <w:tab w:val="center" w:pos="4680"/>
              <w:tab w:val="right" w:pos="9360"/>
            </w:tabs>
            <w:spacing w:after="0" w:line="240" w:lineRule="auto"/>
            <w:jc w:val="right"/>
            <w:rPr>
              <w:rFonts w:ascii="Times New Roman" w:eastAsia="Times New Roman" w:hAnsi="Times New Roman" w:cs="Times New Roman"/>
              <w:i/>
              <w:color w:val="000000"/>
              <w:sz w:val="20"/>
              <w:szCs w:val="20"/>
            </w:rPr>
          </w:pPr>
          <w:r w:rsidRPr="00C3780F">
            <w:rPr>
              <w:rFonts w:ascii="Times New Roman" w:eastAsia="Times New Roman" w:hAnsi="Times New Roman" w:cs="Times New Roman"/>
              <w:i/>
              <w:color w:val="000000"/>
              <w:sz w:val="20"/>
              <w:szCs w:val="20"/>
            </w:rPr>
            <w:t xml:space="preserve">Bulan Tahun. Vol. , No, </w:t>
          </w:r>
        </w:p>
        <w:p w:rsidR="00C23F10" w:rsidRPr="00C3780F" w:rsidRDefault="00C23F10" w:rsidP="00C3780F">
          <w:pPr>
            <w:pBdr>
              <w:top w:val="nil"/>
              <w:left w:val="nil"/>
              <w:bottom w:val="nil"/>
              <w:right w:val="nil"/>
              <w:between w:val="nil"/>
            </w:pBdr>
            <w:tabs>
              <w:tab w:val="center" w:pos="4680"/>
              <w:tab w:val="right" w:pos="9360"/>
            </w:tabs>
            <w:spacing w:after="0" w:line="240" w:lineRule="auto"/>
            <w:jc w:val="right"/>
            <w:rPr>
              <w:rFonts w:ascii="Times New Roman" w:eastAsia="Times New Roman" w:hAnsi="Times New Roman" w:cs="Times New Roman"/>
              <w:i/>
              <w:color w:val="000000"/>
              <w:sz w:val="20"/>
              <w:szCs w:val="20"/>
            </w:rPr>
          </w:pPr>
          <w:r w:rsidRPr="00C3780F">
            <w:rPr>
              <w:rFonts w:ascii="Times New Roman" w:eastAsia="Times New Roman" w:hAnsi="Times New Roman" w:cs="Times New Roman"/>
              <w:i/>
              <w:color w:val="000000"/>
              <w:sz w:val="20"/>
              <w:szCs w:val="20"/>
            </w:rPr>
            <w:t>e-ISSN: 2</w:t>
          </w:r>
          <w:r w:rsidRPr="00C3780F">
            <w:rPr>
              <w:rFonts w:ascii="Times New Roman" w:eastAsia="Times New Roman" w:hAnsi="Times New Roman" w:cs="Times New Roman"/>
              <w:i/>
              <w:sz w:val="20"/>
              <w:szCs w:val="20"/>
            </w:rPr>
            <w:t>442</w:t>
          </w:r>
          <w:r w:rsidRPr="00C3780F">
            <w:rPr>
              <w:rFonts w:ascii="Times New Roman" w:eastAsia="Times New Roman" w:hAnsi="Times New Roman" w:cs="Times New Roman"/>
              <w:i/>
              <w:color w:val="000000"/>
              <w:sz w:val="20"/>
              <w:szCs w:val="20"/>
            </w:rPr>
            <w:t>-7</w:t>
          </w:r>
          <w:r w:rsidRPr="00C3780F">
            <w:rPr>
              <w:rFonts w:ascii="Times New Roman" w:eastAsia="Times New Roman" w:hAnsi="Times New Roman" w:cs="Times New Roman"/>
              <w:i/>
              <w:sz w:val="20"/>
              <w:szCs w:val="20"/>
            </w:rPr>
            <w:t>667</w:t>
          </w:r>
        </w:p>
        <w:p w:rsidR="00C23F10" w:rsidRPr="00C3780F" w:rsidRDefault="00C23F10" w:rsidP="00C3780F">
          <w:pPr>
            <w:pBdr>
              <w:top w:val="nil"/>
              <w:left w:val="nil"/>
              <w:bottom w:val="nil"/>
              <w:right w:val="nil"/>
              <w:between w:val="nil"/>
            </w:pBdr>
            <w:tabs>
              <w:tab w:val="center" w:pos="4680"/>
              <w:tab w:val="right" w:pos="9360"/>
            </w:tabs>
            <w:spacing w:after="0" w:line="240" w:lineRule="auto"/>
            <w:jc w:val="right"/>
            <w:rPr>
              <w:rFonts w:ascii="Times New Roman" w:eastAsia="Times New Roman" w:hAnsi="Times New Roman" w:cs="Times New Roman"/>
              <w:i/>
              <w:color w:val="000000"/>
              <w:sz w:val="20"/>
              <w:szCs w:val="20"/>
            </w:rPr>
          </w:pPr>
          <w:r w:rsidRPr="00C3780F">
            <w:rPr>
              <w:rFonts w:ascii="Times New Roman" w:eastAsia="Times New Roman" w:hAnsi="Times New Roman" w:cs="Times New Roman"/>
              <w:i/>
              <w:color w:val="000000"/>
              <w:sz w:val="20"/>
              <w:szCs w:val="20"/>
            </w:rPr>
            <w:t xml:space="preserve">pp.  </w:t>
          </w:r>
        </w:p>
      </w:tc>
    </w:tr>
  </w:tbl>
  <w:p w:rsidR="009A4BBB" w:rsidRDefault="009A4BBB">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3E2E4D"/>
    <w:multiLevelType w:val="multilevel"/>
    <w:tmpl w:val="129C5206"/>
    <w:lvl w:ilvl="0">
      <w:start w:val="1"/>
      <w:numFmt w:val="upperRoman"/>
      <w:pStyle w:val="IEEEHeading1"/>
      <w:lvlText w:val="%1."/>
      <w:lvlJc w:val="left"/>
      <w:pPr>
        <w:tabs>
          <w:tab w:val="num" w:pos="288"/>
        </w:tabs>
        <w:ind w:left="288" w:hanging="288"/>
      </w:pPr>
      <w:rPr>
        <w:rFonts w:ascii="Times New Roman" w:eastAsia="Arial Unicode MS" w:hAnsi="Times New Roman" w:cs="Times New Roman" w:hint="default"/>
        <w:b w:val="0"/>
        <w:bCs w:val="0"/>
        <w:i w:val="0"/>
        <w:iCs w:val="0"/>
        <w:caps/>
        <w:strike w:val="0"/>
        <w:dstrike w:val="0"/>
        <w:outline w:val="0"/>
        <w:shadow w:val="0"/>
        <w:emboss w:val="0"/>
        <w:imprint w:val="0"/>
        <w:vanish w:val="0"/>
        <w:color w:val="000000"/>
        <w:spacing w:val="0"/>
        <w:kern w:val="0"/>
        <w:position w:val="0"/>
        <w:sz w:val="20"/>
        <w:szCs w:val="20"/>
        <w:u w:val="none"/>
        <w:vertAlign w:val="baseline"/>
        <w:em w:val="none"/>
      </w:rPr>
    </w:lvl>
    <w:lvl w:ilvl="1">
      <w:start w:val="1"/>
      <w:numFmt w:val="upperLetter"/>
      <w:lvlText w:val="%2."/>
      <w:lvlJc w:val="left"/>
      <w:pPr>
        <w:tabs>
          <w:tab w:val="num" w:pos="288"/>
        </w:tabs>
        <w:ind w:left="288" w:hanging="288"/>
      </w:pPr>
      <w:rPr>
        <w:rFonts w:ascii="Times New Roman" w:hAnsi="Times New Roman" w:hint="default"/>
        <w:b w:val="0"/>
        <w:i w:val="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nsid w:val="13362C8B"/>
    <w:multiLevelType w:val="hybridMultilevel"/>
    <w:tmpl w:val="F0D83706"/>
    <w:lvl w:ilvl="0" w:tplc="3A423EDE">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4F36AA7"/>
    <w:multiLevelType w:val="hybridMultilevel"/>
    <w:tmpl w:val="A97C75AA"/>
    <w:lvl w:ilvl="0" w:tplc="B5C83C9C">
      <w:start w:val="1"/>
      <w:numFmt w:val="decimal"/>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3">
    <w:nsid w:val="20AA411A"/>
    <w:multiLevelType w:val="hybridMultilevel"/>
    <w:tmpl w:val="5D169D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40E28D5"/>
    <w:multiLevelType w:val="hybridMultilevel"/>
    <w:tmpl w:val="7EC0ED90"/>
    <w:lvl w:ilvl="0" w:tplc="74682BE6">
      <w:start w:val="1"/>
      <w:numFmt w:val="decimal"/>
      <w:lvlText w:val="%1)"/>
      <w:lvlJc w:val="left"/>
      <w:pPr>
        <w:ind w:left="644" w:hanging="360"/>
      </w:pPr>
      <w:rPr>
        <w:rFonts w:hint="default"/>
        <w:b w:val="0"/>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
    <w:nsid w:val="64E155BE"/>
    <w:multiLevelType w:val="hybridMultilevel"/>
    <w:tmpl w:val="7ABA8FA0"/>
    <w:lvl w:ilvl="0" w:tplc="96187F0C">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num w:numId="1">
    <w:abstractNumId w:val="2"/>
  </w:num>
  <w:num w:numId="2">
    <w:abstractNumId w:val="5"/>
  </w:num>
  <w:num w:numId="3">
    <w:abstractNumId w:val="1"/>
  </w:num>
  <w:num w:numId="4">
    <w:abstractNumId w:val="4"/>
  </w:num>
  <w:num w:numId="5">
    <w:abstractNumId w:val="3"/>
  </w:num>
  <w:num w:numId="6">
    <w:abstractNumId w:val="0"/>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5121"/>
  </w:hdrShapeDefaults>
  <w:footnotePr>
    <w:footnote w:id="0"/>
    <w:footnote w:id="1"/>
  </w:footnotePr>
  <w:endnotePr>
    <w:endnote w:id="0"/>
    <w:endnote w:id="1"/>
  </w:endnotePr>
  <w:compat/>
  <w:docVars>
    <w:docVar w:name="__Grammarly_42____i" w:val="H4sIAAAAAAAEAKtWckksSQxILCpxzi/NK1GyMqwFAAEhoTITAAAA"/>
    <w:docVar w:name="__Grammarly_42___1" w:val="H4sIAAAAAAAEAKtWcslP9kxRslIyNDa0NDU0srCwNDEyMDQyMDVR0lEKTi0uzszPAykwrwUAK3IM2CwAAAA="/>
  </w:docVars>
  <w:rsids>
    <w:rsidRoot w:val="009A4BBB"/>
    <w:rsid w:val="000058B4"/>
    <w:rsid w:val="00011950"/>
    <w:rsid w:val="00016EA7"/>
    <w:rsid w:val="000210C7"/>
    <w:rsid w:val="00036B28"/>
    <w:rsid w:val="00043005"/>
    <w:rsid w:val="00055B2A"/>
    <w:rsid w:val="000710CD"/>
    <w:rsid w:val="0007676A"/>
    <w:rsid w:val="00094479"/>
    <w:rsid w:val="00095A4B"/>
    <w:rsid w:val="000A7B2B"/>
    <w:rsid w:val="000B4FBC"/>
    <w:rsid w:val="000C129F"/>
    <w:rsid w:val="000C537E"/>
    <w:rsid w:val="000E0215"/>
    <w:rsid w:val="000E3154"/>
    <w:rsid w:val="000E6767"/>
    <w:rsid w:val="00100EF8"/>
    <w:rsid w:val="0010154D"/>
    <w:rsid w:val="001107A8"/>
    <w:rsid w:val="00114D7E"/>
    <w:rsid w:val="00116E96"/>
    <w:rsid w:val="001214BA"/>
    <w:rsid w:val="001258E5"/>
    <w:rsid w:val="00160E58"/>
    <w:rsid w:val="00162BEE"/>
    <w:rsid w:val="001734E0"/>
    <w:rsid w:val="001832D0"/>
    <w:rsid w:val="001958DF"/>
    <w:rsid w:val="001A00F1"/>
    <w:rsid w:val="001A2DA1"/>
    <w:rsid w:val="001C068E"/>
    <w:rsid w:val="001C3882"/>
    <w:rsid w:val="001C6628"/>
    <w:rsid w:val="001F0723"/>
    <w:rsid w:val="00205AC6"/>
    <w:rsid w:val="00207D85"/>
    <w:rsid w:val="00207D9E"/>
    <w:rsid w:val="002149DA"/>
    <w:rsid w:val="00215682"/>
    <w:rsid w:val="00225B28"/>
    <w:rsid w:val="0023051F"/>
    <w:rsid w:val="002464B3"/>
    <w:rsid w:val="00246A48"/>
    <w:rsid w:val="00253505"/>
    <w:rsid w:val="00260C11"/>
    <w:rsid w:val="00264D84"/>
    <w:rsid w:val="00267BC3"/>
    <w:rsid w:val="00274660"/>
    <w:rsid w:val="00280D6D"/>
    <w:rsid w:val="0028168B"/>
    <w:rsid w:val="00281B23"/>
    <w:rsid w:val="002875DC"/>
    <w:rsid w:val="002B35EC"/>
    <w:rsid w:val="002B76BE"/>
    <w:rsid w:val="002C70B9"/>
    <w:rsid w:val="002F0D0F"/>
    <w:rsid w:val="00325AC7"/>
    <w:rsid w:val="00333535"/>
    <w:rsid w:val="003414B9"/>
    <w:rsid w:val="00375D2E"/>
    <w:rsid w:val="00386D9F"/>
    <w:rsid w:val="003A6548"/>
    <w:rsid w:val="003B537E"/>
    <w:rsid w:val="003B6D50"/>
    <w:rsid w:val="003C57CB"/>
    <w:rsid w:val="00400015"/>
    <w:rsid w:val="00402CF3"/>
    <w:rsid w:val="00407C7E"/>
    <w:rsid w:val="004164BA"/>
    <w:rsid w:val="00430FA0"/>
    <w:rsid w:val="004420D3"/>
    <w:rsid w:val="0045288A"/>
    <w:rsid w:val="004653CD"/>
    <w:rsid w:val="004770EB"/>
    <w:rsid w:val="004A1E64"/>
    <w:rsid w:val="004A34C8"/>
    <w:rsid w:val="004A3A2C"/>
    <w:rsid w:val="004A472C"/>
    <w:rsid w:val="004A700B"/>
    <w:rsid w:val="004D52E6"/>
    <w:rsid w:val="004E723A"/>
    <w:rsid w:val="00503B26"/>
    <w:rsid w:val="0051092C"/>
    <w:rsid w:val="00511051"/>
    <w:rsid w:val="00512A76"/>
    <w:rsid w:val="00524A61"/>
    <w:rsid w:val="00525A96"/>
    <w:rsid w:val="0053364B"/>
    <w:rsid w:val="00552355"/>
    <w:rsid w:val="00553882"/>
    <w:rsid w:val="00555C73"/>
    <w:rsid w:val="005744BC"/>
    <w:rsid w:val="00575D31"/>
    <w:rsid w:val="00584D07"/>
    <w:rsid w:val="00585E2F"/>
    <w:rsid w:val="005A7627"/>
    <w:rsid w:val="005B3622"/>
    <w:rsid w:val="005C128F"/>
    <w:rsid w:val="005D74D5"/>
    <w:rsid w:val="005E1A4A"/>
    <w:rsid w:val="005E3488"/>
    <w:rsid w:val="005E6242"/>
    <w:rsid w:val="005E79F5"/>
    <w:rsid w:val="005F122D"/>
    <w:rsid w:val="0060513C"/>
    <w:rsid w:val="006128CC"/>
    <w:rsid w:val="00612BBE"/>
    <w:rsid w:val="00625815"/>
    <w:rsid w:val="00626533"/>
    <w:rsid w:val="0063778B"/>
    <w:rsid w:val="00647744"/>
    <w:rsid w:val="00653319"/>
    <w:rsid w:val="006539F9"/>
    <w:rsid w:val="00667DF6"/>
    <w:rsid w:val="006721DE"/>
    <w:rsid w:val="00683E51"/>
    <w:rsid w:val="006A033E"/>
    <w:rsid w:val="006A274C"/>
    <w:rsid w:val="006A427F"/>
    <w:rsid w:val="006B6F47"/>
    <w:rsid w:val="006F6818"/>
    <w:rsid w:val="007041A5"/>
    <w:rsid w:val="0071610C"/>
    <w:rsid w:val="00716669"/>
    <w:rsid w:val="007215FA"/>
    <w:rsid w:val="00732C4D"/>
    <w:rsid w:val="007338F1"/>
    <w:rsid w:val="00734C12"/>
    <w:rsid w:val="00751266"/>
    <w:rsid w:val="00751EB6"/>
    <w:rsid w:val="00753A63"/>
    <w:rsid w:val="0077292D"/>
    <w:rsid w:val="00777C6B"/>
    <w:rsid w:val="00787C5C"/>
    <w:rsid w:val="00795849"/>
    <w:rsid w:val="007A586B"/>
    <w:rsid w:val="007A65CE"/>
    <w:rsid w:val="007B058C"/>
    <w:rsid w:val="007B4E4E"/>
    <w:rsid w:val="007B4F04"/>
    <w:rsid w:val="007B62B3"/>
    <w:rsid w:val="007B7438"/>
    <w:rsid w:val="007C1357"/>
    <w:rsid w:val="007D1530"/>
    <w:rsid w:val="007D2F8A"/>
    <w:rsid w:val="007D78FB"/>
    <w:rsid w:val="007F26E7"/>
    <w:rsid w:val="007F29EB"/>
    <w:rsid w:val="00801967"/>
    <w:rsid w:val="008019DA"/>
    <w:rsid w:val="00803216"/>
    <w:rsid w:val="00803835"/>
    <w:rsid w:val="0081376F"/>
    <w:rsid w:val="00814500"/>
    <w:rsid w:val="00816FD3"/>
    <w:rsid w:val="00823331"/>
    <w:rsid w:val="0082485F"/>
    <w:rsid w:val="0083092B"/>
    <w:rsid w:val="00831F35"/>
    <w:rsid w:val="00842F2E"/>
    <w:rsid w:val="00852490"/>
    <w:rsid w:val="008634CD"/>
    <w:rsid w:val="00880758"/>
    <w:rsid w:val="00887F9A"/>
    <w:rsid w:val="00896395"/>
    <w:rsid w:val="008B0BA2"/>
    <w:rsid w:val="008C66DE"/>
    <w:rsid w:val="008C6F2F"/>
    <w:rsid w:val="008D2AEB"/>
    <w:rsid w:val="008D3AFC"/>
    <w:rsid w:val="008D63AE"/>
    <w:rsid w:val="008E4C14"/>
    <w:rsid w:val="008F3BA3"/>
    <w:rsid w:val="00900054"/>
    <w:rsid w:val="00911ECE"/>
    <w:rsid w:val="009164D7"/>
    <w:rsid w:val="00917F1C"/>
    <w:rsid w:val="00923B8B"/>
    <w:rsid w:val="00935575"/>
    <w:rsid w:val="00954B6A"/>
    <w:rsid w:val="00977C4F"/>
    <w:rsid w:val="0098028B"/>
    <w:rsid w:val="00980EB1"/>
    <w:rsid w:val="0098354F"/>
    <w:rsid w:val="00997A96"/>
    <w:rsid w:val="009A3632"/>
    <w:rsid w:val="009A4BBB"/>
    <w:rsid w:val="009A7377"/>
    <w:rsid w:val="009C164F"/>
    <w:rsid w:val="009C1ACD"/>
    <w:rsid w:val="009F2399"/>
    <w:rsid w:val="009F6E9F"/>
    <w:rsid w:val="00A04067"/>
    <w:rsid w:val="00A32508"/>
    <w:rsid w:val="00A35578"/>
    <w:rsid w:val="00A37C6F"/>
    <w:rsid w:val="00A461D6"/>
    <w:rsid w:val="00A53510"/>
    <w:rsid w:val="00A65742"/>
    <w:rsid w:val="00A70B40"/>
    <w:rsid w:val="00A84815"/>
    <w:rsid w:val="00A90924"/>
    <w:rsid w:val="00A92673"/>
    <w:rsid w:val="00A94D78"/>
    <w:rsid w:val="00A94F09"/>
    <w:rsid w:val="00AB3679"/>
    <w:rsid w:val="00AD717B"/>
    <w:rsid w:val="00AF651B"/>
    <w:rsid w:val="00B02038"/>
    <w:rsid w:val="00B17385"/>
    <w:rsid w:val="00B235E8"/>
    <w:rsid w:val="00B2453F"/>
    <w:rsid w:val="00B25FD1"/>
    <w:rsid w:val="00B3680E"/>
    <w:rsid w:val="00B47DD1"/>
    <w:rsid w:val="00B622E8"/>
    <w:rsid w:val="00B71075"/>
    <w:rsid w:val="00B82482"/>
    <w:rsid w:val="00B839B8"/>
    <w:rsid w:val="00B96D5E"/>
    <w:rsid w:val="00BA03BA"/>
    <w:rsid w:val="00BA3E0F"/>
    <w:rsid w:val="00BB0133"/>
    <w:rsid w:val="00BB1208"/>
    <w:rsid w:val="00BB54BD"/>
    <w:rsid w:val="00BB5F0C"/>
    <w:rsid w:val="00BC55FA"/>
    <w:rsid w:val="00BE5737"/>
    <w:rsid w:val="00BE7E98"/>
    <w:rsid w:val="00BF1BFF"/>
    <w:rsid w:val="00C01733"/>
    <w:rsid w:val="00C23F10"/>
    <w:rsid w:val="00C319C6"/>
    <w:rsid w:val="00C31F72"/>
    <w:rsid w:val="00C34DC0"/>
    <w:rsid w:val="00C34E37"/>
    <w:rsid w:val="00C3780F"/>
    <w:rsid w:val="00C53551"/>
    <w:rsid w:val="00C65344"/>
    <w:rsid w:val="00C76019"/>
    <w:rsid w:val="00C832BE"/>
    <w:rsid w:val="00C84EEC"/>
    <w:rsid w:val="00C95997"/>
    <w:rsid w:val="00CA5E87"/>
    <w:rsid w:val="00CA6C8C"/>
    <w:rsid w:val="00CB1D4D"/>
    <w:rsid w:val="00CD7B34"/>
    <w:rsid w:val="00CF3372"/>
    <w:rsid w:val="00CF5122"/>
    <w:rsid w:val="00CF67DC"/>
    <w:rsid w:val="00D21A80"/>
    <w:rsid w:val="00D44D5C"/>
    <w:rsid w:val="00D54AAE"/>
    <w:rsid w:val="00D62EDF"/>
    <w:rsid w:val="00D65A72"/>
    <w:rsid w:val="00D80BC8"/>
    <w:rsid w:val="00D83462"/>
    <w:rsid w:val="00D92246"/>
    <w:rsid w:val="00DA4DC1"/>
    <w:rsid w:val="00DB3436"/>
    <w:rsid w:val="00DD26BE"/>
    <w:rsid w:val="00DD5864"/>
    <w:rsid w:val="00DD79E5"/>
    <w:rsid w:val="00DE1EB0"/>
    <w:rsid w:val="00DE5E1C"/>
    <w:rsid w:val="00DF4761"/>
    <w:rsid w:val="00E05CE8"/>
    <w:rsid w:val="00E132D8"/>
    <w:rsid w:val="00E24D9F"/>
    <w:rsid w:val="00E32F57"/>
    <w:rsid w:val="00E34C95"/>
    <w:rsid w:val="00E56DA7"/>
    <w:rsid w:val="00E858C4"/>
    <w:rsid w:val="00E9519B"/>
    <w:rsid w:val="00EB1573"/>
    <w:rsid w:val="00EC0C2C"/>
    <w:rsid w:val="00EF1F97"/>
    <w:rsid w:val="00EF5134"/>
    <w:rsid w:val="00EF7B31"/>
    <w:rsid w:val="00F0114D"/>
    <w:rsid w:val="00F07779"/>
    <w:rsid w:val="00F109EB"/>
    <w:rsid w:val="00F14AB8"/>
    <w:rsid w:val="00F20C70"/>
    <w:rsid w:val="00F34592"/>
    <w:rsid w:val="00F37088"/>
    <w:rsid w:val="00F41269"/>
    <w:rsid w:val="00F600C0"/>
    <w:rsid w:val="00F62366"/>
    <w:rsid w:val="00F6413F"/>
    <w:rsid w:val="00F80372"/>
    <w:rsid w:val="00F81E4A"/>
    <w:rsid w:val="00F86DCD"/>
    <w:rsid w:val="00FA10F9"/>
    <w:rsid w:val="00FA36CB"/>
    <w:rsid w:val="00FC7755"/>
    <w:rsid w:val="00FE26F0"/>
  </w:rsids>
  <m:mathPr>
    <m:mathFont m:val="Cambria Math"/>
    <m:brkBin m:val="before"/>
    <m:brkBinSub m:val="--"/>
    <m:smallFrac/>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512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0"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0" w:unhideWhenUsed="0" w:qFormat="1"/>
    <w:lsdException w:name="Emphasis" w:semiHidden="0" w:uiPriority="20" w:unhideWhenUsed="0" w:qFormat="1"/>
    <w:lsdException w:name="Normal (Web)"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0E0215"/>
    <w:pPr>
      <w:spacing w:after="160" w:line="259" w:lineRule="auto"/>
    </w:pPr>
    <w:rPr>
      <w:sz w:val="22"/>
      <w:szCs w:val="22"/>
      <w:lang w:val="id-ID" w:eastAsia="en-US"/>
    </w:rPr>
  </w:style>
  <w:style w:type="paragraph" w:styleId="Heading1">
    <w:name w:val="heading 1"/>
    <w:basedOn w:val="Normal"/>
    <w:next w:val="Normal"/>
    <w:rsid w:val="000E0215"/>
    <w:pPr>
      <w:keepNext/>
      <w:keepLines/>
      <w:spacing w:before="480" w:after="120"/>
      <w:outlineLvl w:val="0"/>
    </w:pPr>
    <w:rPr>
      <w:b/>
      <w:sz w:val="48"/>
      <w:szCs w:val="48"/>
    </w:rPr>
  </w:style>
  <w:style w:type="paragraph" w:styleId="Heading2">
    <w:name w:val="heading 2"/>
    <w:basedOn w:val="Normal"/>
    <w:next w:val="Normal"/>
    <w:rsid w:val="000E0215"/>
    <w:pPr>
      <w:keepNext/>
      <w:keepLines/>
      <w:spacing w:before="360" w:after="80"/>
      <w:outlineLvl w:val="1"/>
    </w:pPr>
    <w:rPr>
      <w:b/>
      <w:sz w:val="36"/>
      <w:szCs w:val="36"/>
    </w:rPr>
  </w:style>
  <w:style w:type="paragraph" w:styleId="Heading3">
    <w:name w:val="heading 3"/>
    <w:basedOn w:val="Normal"/>
    <w:next w:val="Normal"/>
    <w:rsid w:val="000E0215"/>
    <w:pPr>
      <w:keepNext/>
      <w:spacing w:before="240" w:after="60" w:line="240" w:lineRule="auto"/>
      <w:ind w:left="360" w:hanging="360"/>
      <w:outlineLvl w:val="2"/>
    </w:pPr>
    <w:rPr>
      <w:rFonts w:ascii="Arial" w:eastAsia="Arial" w:hAnsi="Arial" w:cs="Arial"/>
      <w:b/>
      <w:sz w:val="26"/>
      <w:szCs w:val="26"/>
    </w:rPr>
  </w:style>
  <w:style w:type="paragraph" w:styleId="Heading4">
    <w:name w:val="heading 4"/>
    <w:basedOn w:val="Normal"/>
    <w:next w:val="Normal"/>
    <w:rsid w:val="000E0215"/>
    <w:pPr>
      <w:keepNext/>
      <w:keepLines/>
      <w:spacing w:before="240" w:after="40"/>
      <w:outlineLvl w:val="3"/>
    </w:pPr>
    <w:rPr>
      <w:b/>
      <w:sz w:val="24"/>
      <w:szCs w:val="24"/>
    </w:rPr>
  </w:style>
  <w:style w:type="paragraph" w:styleId="Heading5">
    <w:name w:val="heading 5"/>
    <w:basedOn w:val="Normal"/>
    <w:next w:val="Normal"/>
    <w:rsid w:val="000E0215"/>
    <w:pPr>
      <w:keepNext/>
      <w:keepLines/>
      <w:spacing w:before="220" w:after="40"/>
      <w:outlineLvl w:val="4"/>
    </w:pPr>
    <w:rPr>
      <w:b/>
    </w:rPr>
  </w:style>
  <w:style w:type="paragraph" w:styleId="Heading6">
    <w:name w:val="heading 6"/>
    <w:basedOn w:val="Normal"/>
    <w:next w:val="Normal"/>
    <w:rsid w:val="000E0215"/>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rsid w:val="000E0215"/>
    <w:pPr>
      <w:keepNext/>
      <w:keepLines/>
      <w:spacing w:before="480" w:after="120"/>
    </w:pPr>
    <w:rPr>
      <w:b/>
      <w:sz w:val="72"/>
      <w:szCs w:val="72"/>
    </w:rPr>
  </w:style>
  <w:style w:type="paragraph" w:styleId="Subtitle">
    <w:name w:val="Subtitle"/>
    <w:basedOn w:val="Normal"/>
    <w:next w:val="Normal"/>
    <w:rsid w:val="000E0215"/>
    <w:pPr>
      <w:keepNext/>
      <w:keepLines/>
      <w:spacing w:before="360" w:after="80"/>
    </w:pPr>
    <w:rPr>
      <w:rFonts w:ascii="Georgia" w:eastAsia="Georgia" w:hAnsi="Georgia" w:cs="Georgia"/>
      <w:i/>
      <w:color w:val="666666"/>
      <w:sz w:val="48"/>
      <w:szCs w:val="48"/>
    </w:rPr>
  </w:style>
  <w:style w:type="table" w:customStyle="1" w:styleId="a">
    <w:basedOn w:val="TableNormal"/>
    <w:rsid w:val="000E0215"/>
    <w:tblPr>
      <w:tblStyleRowBandSize w:val="1"/>
      <w:tblStyleColBandSize w:val="1"/>
      <w:tblInd w:w="0" w:type="dxa"/>
      <w:tblCellMar>
        <w:top w:w="0" w:type="dxa"/>
        <w:left w:w="108" w:type="dxa"/>
        <w:bottom w:w="0" w:type="dxa"/>
        <w:right w:w="108" w:type="dxa"/>
      </w:tblCellMar>
    </w:tblPr>
  </w:style>
  <w:style w:type="table" w:customStyle="1" w:styleId="a0">
    <w:basedOn w:val="TableNormal"/>
    <w:rsid w:val="000E0215"/>
    <w:tblPr>
      <w:tblStyleRowBandSize w:val="1"/>
      <w:tblStyleColBandSize w:val="1"/>
      <w:tblInd w:w="0" w:type="dxa"/>
      <w:tblCellMar>
        <w:top w:w="0" w:type="dxa"/>
        <w:left w:w="108" w:type="dxa"/>
        <w:bottom w:w="0" w:type="dxa"/>
        <w:right w:w="108" w:type="dxa"/>
      </w:tblCellMar>
    </w:tblPr>
  </w:style>
  <w:style w:type="table" w:customStyle="1" w:styleId="a1">
    <w:basedOn w:val="TableNormal"/>
    <w:rsid w:val="000E0215"/>
    <w:tblPr>
      <w:tblStyleRowBandSize w:val="1"/>
      <w:tblStyleColBandSize w:val="1"/>
      <w:tblInd w:w="0" w:type="dxa"/>
      <w:tblCellMar>
        <w:top w:w="0" w:type="dxa"/>
        <w:left w:w="108" w:type="dxa"/>
        <w:bottom w:w="0" w:type="dxa"/>
        <w:right w:w="108" w:type="dxa"/>
      </w:tblCellMar>
    </w:tblPr>
  </w:style>
  <w:style w:type="paragraph" w:styleId="Header">
    <w:name w:val="header"/>
    <w:basedOn w:val="Normal"/>
    <w:link w:val="HeaderChar"/>
    <w:uiPriority w:val="99"/>
    <w:unhideWhenUsed/>
    <w:rsid w:val="008C66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8C66DE"/>
  </w:style>
  <w:style w:type="paragraph" w:styleId="Footer">
    <w:name w:val="footer"/>
    <w:basedOn w:val="Normal"/>
    <w:link w:val="FooterChar"/>
    <w:uiPriority w:val="99"/>
    <w:unhideWhenUsed/>
    <w:rsid w:val="008C66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8C66DE"/>
  </w:style>
  <w:style w:type="paragraph" w:styleId="NoSpacing">
    <w:name w:val="No Spacing"/>
    <w:link w:val="NoSpacingChar"/>
    <w:uiPriority w:val="1"/>
    <w:qFormat/>
    <w:rsid w:val="007B058C"/>
    <w:rPr>
      <w:rFonts w:eastAsia="Times New Roman" w:cs="Times New Roman"/>
      <w:sz w:val="22"/>
      <w:szCs w:val="22"/>
      <w:lang w:val="id-ID" w:eastAsia="id-ID"/>
    </w:rPr>
  </w:style>
  <w:style w:type="table" w:styleId="TableGrid">
    <w:name w:val="Table Grid"/>
    <w:basedOn w:val="TableNormal"/>
    <w:uiPriority w:val="99"/>
    <w:rsid w:val="009F6E9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unhideWhenUsed/>
    <w:rsid w:val="002149DA"/>
    <w:rPr>
      <w:color w:val="0563C1"/>
      <w:u w:val="single"/>
    </w:rPr>
  </w:style>
  <w:style w:type="character" w:customStyle="1" w:styleId="hps">
    <w:name w:val="hps"/>
    <w:basedOn w:val="DefaultParagraphFont"/>
    <w:rsid w:val="002149DA"/>
  </w:style>
  <w:style w:type="paragraph" w:styleId="ListParagraph">
    <w:name w:val="List Paragraph"/>
    <w:aliases w:val="Normal1,Normal2,normal,Normal3,Body of text,Colorful List - Accent 11,List Paragraph1,Normal11,Normal4,Normal5,Normal6,Normal7,Normal8,Normal9,Normal10,Normal12,Normal13,Normal14,Normal15,Normal16,Normal17"/>
    <w:basedOn w:val="Normal"/>
    <w:link w:val="ListParagraphChar"/>
    <w:uiPriority w:val="1"/>
    <w:qFormat/>
    <w:rsid w:val="002149DA"/>
    <w:pPr>
      <w:ind w:left="720"/>
      <w:contextualSpacing/>
    </w:pPr>
    <w:rPr>
      <w:rFonts w:cs="Times New Roman"/>
      <w:sz w:val="20"/>
      <w:szCs w:val="20"/>
    </w:rPr>
  </w:style>
  <w:style w:type="character" w:customStyle="1" w:styleId="ListParagraphChar">
    <w:name w:val="List Paragraph Char"/>
    <w:aliases w:val="Normal1 Char,Normal2 Char,normal Char,Normal3 Char,Body of text Char,Colorful List - Accent 11 Char,List Paragraph1 Char,Normal11 Char,Normal4 Char,Normal5 Char,Normal6 Char,Normal7 Char,Normal8 Char,Normal9 Char,Normal10 Char"/>
    <w:link w:val="ListParagraph"/>
    <w:uiPriority w:val="34"/>
    <w:locked/>
    <w:rsid w:val="002149DA"/>
    <w:rPr>
      <w:rFonts w:cs="Times New Roman"/>
    </w:rPr>
  </w:style>
  <w:style w:type="paragraph" w:styleId="BalloonText">
    <w:name w:val="Balloon Text"/>
    <w:basedOn w:val="Normal"/>
    <w:link w:val="BalloonTextChar"/>
    <w:uiPriority w:val="99"/>
    <w:semiHidden/>
    <w:unhideWhenUsed/>
    <w:rsid w:val="00C3780F"/>
    <w:pPr>
      <w:spacing w:after="0" w:line="240" w:lineRule="auto"/>
    </w:pPr>
    <w:rPr>
      <w:rFonts w:ascii="Tahoma" w:hAnsi="Tahoma" w:cs="Times New Roman"/>
      <w:sz w:val="16"/>
      <w:szCs w:val="16"/>
    </w:rPr>
  </w:style>
  <w:style w:type="character" w:customStyle="1" w:styleId="BalloonTextChar">
    <w:name w:val="Balloon Text Char"/>
    <w:link w:val="BalloonText"/>
    <w:uiPriority w:val="99"/>
    <w:semiHidden/>
    <w:rsid w:val="00C3780F"/>
    <w:rPr>
      <w:rFonts w:ascii="Tahoma" w:hAnsi="Tahoma" w:cs="Tahoma"/>
      <w:sz w:val="16"/>
      <w:szCs w:val="16"/>
    </w:rPr>
  </w:style>
  <w:style w:type="character" w:customStyle="1" w:styleId="NoSpacingChar">
    <w:name w:val="No Spacing Char"/>
    <w:link w:val="NoSpacing"/>
    <w:uiPriority w:val="1"/>
    <w:locked/>
    <w:rsid w:val="005D74D5"/>
    <w:rPr>
      <w:rFonts w:eastAsia="Times New Roman" w:cs="Times New Roman"/>
      <w:sz w:val="22"/>
      <w:szCs w:val="22"/>
      <w:lang w:val="id-ID" w:eastAsia="id-ID" w:bidi="ar-SA"/>
    </w:rPr>
  </w:style>
  <w:style w:type="paragraph" w:customStyle="1" w:styleId="Style">
    <w:name w:val="Style"/>
    <w:link w:val="StyleChar"/>
    <w:rsid w:val="005D74D5"/>
    <w:pPr>
      <w:widowControl w:val="0"/>
      <w:autoSpaceDE w:val="0"/>
      <w:autoSpaceDN w:val="0"/>
      <w:adjustRightInd w:val="0"/>
    </w:pPr>
    <w:rPr>
      <w:rFonts w:eastAsia="Times New Roman" w:cs="Times New Roman"/>
      <w:sz w:val="24"/>
      <w:szCs w:val="24"/>
      <w:lang w:val="en-US" w:eastAsia="en-US"/>
    </w:rPr>
  </w:style>
  <w:style w:type="character" w:customStyle="1" w:styleId="StyleChar">
    <w:name w:val="Style Char"/>
    <w:link w:val="Style"/>
    <w:locked/>
    <w:rsid w:val="005D74D5"/>
    <w:rPr>
      <w:rFonts w:eastAsia="Times New Roman" w:cs="Times New Roman"/>
      <w:sz w:val="24"/>
      <w:szCs w:val="24"/>
      <w:lang w:val="en-US" w:eastAsia="en-US" w:bidi="ar-SA"/>
    </w:rPr>
  </w:style>
  <w:style w:type="paragraph" w:styleId="Quote">
    <w:name w:val="Quote"/>
    <w:basedOn w:val="Normal"/>
    <w:next w:val="Normal"/>
    <w:link w:val="QuoteChar"/>
    <w:uiPriority w:val="29"/>
    <w:qFormat/>
    <w:rsid w:val="003B6D50"/>
    <w:pPr>
      <w:spacing w:after="200" w:line="276" w:lineRule="auto"/>
    </w:pPr>
    <w:rPr>
      <w:rFonts w:eastAsia="Times New Roman" w:cs="Times New Roman"/>
      <w:i/>
      <w:iCs/>
      <w:color w:val="000000"/>
    </w:rPr>
  </w:style>
  <w:style w:type="character" w:customStyle="1" w:styleId="QuoteChar">
    <w:name w:val="Quote Char"/>
    <w:link w:val="Quote"/>
    <w:uiPriority w:val="29"/>
    <w:rsid w:val="003B6D50"/>
    <w:rPr>
      <w:rFonts w:eastAsia="Times New Roman" w:cs="Times New Roman"/>
      <w:i/>
      <w:iCs/>
      <w:color w:val="000000"/>
      <w:sz w:val="22"/>
      <w:szCs w:val="22"/>
    </w:rPr>
  </w:style>
  <w:style w:type="character" w:styleId="Strong">
    <w:name w:val="Strong"/>
    <w:qFormat/>
    <w:rsid w:val="003B6D50"/>
    <w:rPr>
      <w:b/>
      <w:bCs/>
    </w:rPr>
  </w:style>
  <w:style w:type="paragraph" w:styleId="FootnoteText">
    <w:name w:val="footnote text"/>
    <w:aliases w:val="Char Char1 Char Char Char,Char Char1 Char Char Char Char Char Char Char Char Char Char Char,Footnote Text Char1 Char,Footnote Text Char Char Char,Footnote Text Char Char1, Char,Char Char1 Char Char,Char,Char Char Char Char"/>
    <w:basedOn w:val="Normal"/>
    <w:link w:val="FootnoteTextChar"/>
    <w:uiPriority w:val="99"/>
    <w:unhideWhenUsed/>
    <w:qFormat/>
    <w:rsid w:val="001832D0"/>
    <w:pPr>
      <w:spacing w:after="0" w:line="240" w:lineRule="auto"/>
    </w:pPr>
    <w:rPr>
      <w:rFonts w:cs="Times New Roman"/>
      <w:sz w:val="20"/>
      <w:szCs w:val="20"/>
    </w:rPr>
  </w:style>
  <w:style w:type="character" w:customStyle="1" w:styleId="FootnoteTextChar">
    <w:name w:val="Footnote Text Char"/>
    <w:aliases w:val="Char Char1 Char Char Char Char,Char Char1 Char Char Char Char Char Char Char Char Char Char Char Char,Footnote Text Char1 Char Char,Footnote Text Char Char Char Char,Footnote Text Char Char1 Char, Char Char,Char Char1 Char Char Char1"/>
    <w:link w:val="FootnoteText"/>
    <w:uiPriority w:val="99"/>
    <w:rsid w:val="001832D0"/>
    <w:rPr>
      <w:rFonts w:cs="Times New Roman"/>
      <w:lang w:val="id-ID"/>
    </w:rPr>
  </w:style>
  <w:style w:type="character" w:styleId="FootnoteReference">
    <w:name w:val="footnote reference"/>
    <w:uiPriority w:val="99"/>
    <w:unhideWhenUsed/>
    <w:rsid w:val="001832D0"/>
    <w:rPr>
      <w:vertAlign w:val="superscript"/>
    </w:rPr>
  </w:style>
  <w:style w:type="paragraph" w:customStyle="1" w:styleId="Default">
    <w:name w:val="Default"/>
    <w:rsid w:val="00280D6D"/>
    <w:pPr>
      <w:autoSpaceDE w:val="0"/>
      <w:autoSpaceDN w:val="0"/>
      <w:adjustRightInd w:val="0"/>
    </w:pPr>
    <w:rPr>
      <w:rFonts w:ascii="Times New Roman" w:eastAsia="Times New Roman" w:hAnsi="Times New Roman" w:cs="Times New Roman"/>
      <w:color w:val="000000"/>
      <w:sz w:val="24"/>
      <w:szCs w:val="24"/>
    </w:rPr>
  </w:style>
  <w:style w:type="character" w:customStyle="1" w:styleId="CharacterStyle2">
    <w:name w:val="Character Style 2"/>
    <w:uiPriority w:val="99"/>
    <w:rsid w:val="00205AC6"/>
    <w:rPr>
      <w:rFonts w:ascii="Garamond" w:hAnsi="Garamond"/>
      <w:sz w:val="24"/>
    </w:rPr>
  </w:style>
  <w:style w:type="character" w:customStyle="1" w:styleId="CharacterStyle3">
    <w:name w:val="Character Style 3"/>
    <w:uiPriority w:val="99"/>
    <w:rsid w:val="00205AC6"/>
    <w:rPr>
      <w:rFonts w:ascii="Garamond" w:hAnsi="Garamond"/>
      <w:sz w:val="24"/>
    </w:rPr>
  </w:style>
  <w:style w:type="paragraph" w:customStyle="1" w:styleId="Style1">
    <w:name w:val="Style 1"/>
    <w:basedOn w:val="Normal"/>
    <w:rsid w:val="00205AC6"/>
    <w:pPr>
      <w:widowControl w:val="0"/>
      <w:spacing w:after="0" w:line="240" w:lineRule="auto"/>
      <w:jc w:val="center"/>
    </w:pPr>
    <w:rPr>
      <w:rFonts w:eastAsia="Times New Roman" w:cs="Times New Roman"/>
      <w:color w:val="000000"/>
      <w:sz w:val="20"/>
      <w:szCs w:val="20"/>
      <w:lang w:val="en-US"/>
    </w:rPr>
  </w:style>
  <w:style w:type="paragraph" w:customStyle="1" w:styleId="I">
    <w:name w:val="I"/>
    <w:basedOn w:val="Normal"/>
    <w:rsid w:val="002464B3"/>
    <w:pPr>
      <w:autoSpaceDE w:val="0"/>
      <w:autoSpaceDN w:val="0"/>
      <w:spacing w:after="0" w:line="240" w:lineRule="auto"/>
      <w:jc w:val="both"/>
    </w:pPr>
    <w:rPr>
      <w:rFonts w:ascii="Arial Narrow" w:eastAsia="Times New Roman" w:hAnsi="Arial Narrow" w:cs="Times New Roman"/>
      <w:sz w:val="24"/>
      <w:szCs w:val="20"/>
    </w:rPr>
  </w:style>
  <w:style w:type="character" w:customStyle="1" w:styleId="alignjustify">
    <w:name w:val="alignjustify"/>
    <w:basedOn w:val="DefaultParagraphFont"/>
    <w:rsid w:val="002464B3"/>
  </w:style>
  <w:style w:type="paragraph" w:styleId="BodyTextIndent">
    <w:name w:val="Body Text Indent"/>
    <w:basedOn w:val="Normal"/>
    <w:link w:val="BodyTextIndentChar"/>
    <w:rsid w:val="00900054"/>
    <w:pPr>
      <w:spacing w:after="0" w:line="240" w:lineRule="auto"/>
      <w:ind w:left="360"/>
    </w:pPr>
    <w:rPr>
      <w:rFonts w:ascii="Times New Roman" w:eastAsia="Times New Roman" w:hAnsi="Times New Roman" w:cs="Times New Roman"/>
      <w:sz w:val="24"/>
      <w:szCs w:val="20"/>
    </w:rPr>
  </w:style>
  <w:style w:type="character" w:customStyle="1" w:styleId="BodyTextIndentChar">
    <w:name w:val="Body Text Indent Char"/>
    <w:link w:val="BodyTextIndent"/>
    <w:rsid w:val="00900054"/>
    <w:rPr>
      <w:rFonts w:ascii="Times New Roman" w:eastAsia="Times New Roman" w:hAnsi="Times New Roman" w:cs="Times New Roman"/>
      <w:sz w:val="24"/>
    </w:rPr>
  </w:style>
  <w:style w:type="paragraph" w:styleId="BodyText">
    <w:name w:val="Body Text"/>
    <w:basedOn w:val="Normal"/>
    <w:link w:val="BodyTextChar"/>
    <w:rsid w:val="00803216"/>
    <w:pPr>
      <w:spacing w:after="120" w:line="240" w:lineRule="auto"/>
    </w:pPr>
    <w:rPr>
      <w:rFonts w:ascii="Times New Roman" w:eastAsia="Times New Roman" w:hAnsi="Times New Roman" w:cs="Times New Roman"/>
      <w:sz w:val="24"/>
      <w:szCs w:val="24"/>
    </w:rPr>
  </w:style>
  <w:style w:type="character" w:customStyle="1" w:styleId="BodyTextChar">
    <w:name w:val="Body Text Char"/>
    <w:link w:val="BodyText"/>
    <w:rsid w:val="00803216"/>
    <w:rPr>
      <w:rFonts w:ascii="Times New Roman" w:eastAsia="Times New Roman" w:hAnsi="Times New Roman" w:cs="Times New Roman"/>
      <w:sz w:val="24"/>
      <w:szCs w:val="24"/>
    </w:rPr>
  </w:style>
  <w:style w:type="character" w:customStyle="1" w:styleId="tlid-translation">
    <w:name w:val="tlid-translation"/>
    <w:basedOn w:val="DefaultParagraphFont"/>
    <w:rsid w:val="00C319C6"/>
  </w:style>
  <w:style w:type="paragraph" w:styleId="BodyTextIndent3">
    <w:name w:val="Body Text Indent 3"/>
    <w:basedOn w:val="Normal"/>
    <w:link w:val="BodyTextIndent3Char"/>
    <w:uiPriority w:val="99"/>
    <w:unhideWhenUsed/>
    <w:rsid w:val="004D52E6"/>
    <w:pPr>
      <w:spacing w:after="120"/>
      <w:ind w:left="360"/>
    </w:pPr>
    <w:rPr>
      <w:sz w:val="16"/>
      <w:szCs w:val="16"/>
    </w:rPr>
  </w:style>
  <w:style w:type="character" w:customStyle="1" w:styleId="BodyTextIndent3Char">
    <w:name w:val="Body Text Indent 3 Char"/>
    <w:link w:val="BodyTextIndent3"/>
    <w:uiPriority w:val="99"/>
    <w:rsid w:val="004D52E6"/>
    <w:rPr>
      <w:sz w:val="16"/>
      <w:szCs w:val="16"/>
      <w:lang w:val="id-ID"/>
    </w:rPr>
  </w:style>
  <w:style w:type="paragraph" w:styleId="NormalWeb">
    <w:name w:val="Normal (Web)"/>
    <w:basedOn w:val="Normal"/>
    <w:uiPriority w:val="99"/>
    <w:unhideWhenUsed/>
    <w:qFormat/>
    <w:rsid w:val="0082485F"/>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15">
    <w:name w:val="15"/>
    <w:rsid w:val="00281B23"/>
    <w:rPr>
      <w:rFonts w:ascii="Calibri" w:hAnsi="Calibri" w:cs="Calibri" w:hint="default"/>
    </w:rPr>
  </w:style>
  <w:style w:type="character" w:customStyle="1" w:styleId="16">
    <w:name w:val="16"/>
    <w:rsid w:val="00281B23"/>
    <w:rPr>
      <w:rFonts w:ascii="Calibri" w:hAnsi="Calibri" w:cs="Calibri" w:hint="default"/>
      <w:color w:val="0000FF"/>
      <w:u w:val="single"/>
    </w:rPr>
  </w:style>
  <w:style w:type="character" w:styleId="Emphasis">
    <w:name w:val="Emphasis"/>
    <w:uiPriority w:val="20"/>
    <w:qFormat/>
    <w:rsid w:val="00FE26F0"/>
    <w:rPr>
      <w:i/>
      <w:iCs/>
    </w:rPr>
  </w:style>
  <w:style w:type="paragraph" w:customStyle="1" w:styleId="IEEETitle">
    <w:name w:val="IEEE Title"/>
    <w:basedOn w:val="Normal"/>
    <w:next w:val="Normal"/>
    <w:rsid w:val="00F86DCD"/>
    <w:pPr>
      <w:adjustRightInd w:val="0"/>
      <w:snapToGrid w:val="0"/>
      <w:spacing w:after="0" w:line="240" w:lineRule="auto"/>
      <w:jc w:val="center"/>
    </w:pPr>
    <w:rPr>
      <w:rFonts w:ascii="Times New Roman" w:eastAsia="SimSun" w:hAnsi="Times New Roman" w:cs="Times New Roman"/>
      <w:sz w:val="48"/>
      <w:szCs w:val="24"/>
      <w:lang w:eastAsia="zh-CN"/>
    </w:rPr>
  </w:style>
  <w:style w:type="character" w:customStyle="1" w:styleId="shorttext">
    <w:name w:val="short_text"/>
    <w:basedOn w:val="DefaultParagraphFont"/>
    <w:rsid w:val="00F86DCD"/>
  </w:style>
  <w:style w:type="paragraph" w:customStyle="1" w:styleId="Abstract">
    <w:name w:val="Abstract"/>
    <w:basedOn w:val="Normal"/>
    <w:next w:val="Normal"/>
    <w:rsid w:val="0023051F"/>
    <w:pPr>
      <w:autoSpaceDE w:val="0"/>
      <w:autoSpaceDN w:val="0"/>
      <w:spacing w:before="20" w:after="0" w:line="240" w:lineRule="auto"/>
      <w:ind w:firstLine="202"/>
      <w:jc w:val="both"/>
    </w:pPr>
    <w:rPr>
      <w:rFonts w:ascii="Times New Roman" w:eastAsia="Times New Roman" w:hAnsi="Times New Roman" w:cs="Times New Roman"/>
      <w:b/>
      <w:bCs/>
      <w:sz w:val="18"/>
      <w:szCs w:val="18"/>
      <w:lang w:val="en-US"/>
    </w:rPr>
  </w:style>
  <w:style w:type="paragraph" w:customStyle="1" w:styleId="IEEEParagraph">
    <w:name w:val="IEEE Paragraph"/>
    <w:basedOn w:val="Normal"/>
    <w:link w:val="IEEEParagraphChar"/>
    <w:rsid w:val="0023051F"/>
    <w:pPr>
      <w:adjustRightInd w:val="0"/>
      <w:snapToGrid w:val="0"/>
      <w:spacing w:after="0" w:line="240" w:lineRule="auto"/>
      <w:ind w:firstLine="216"/>
      <w:jc w:val="both"/>
    </w:pPr>
    <w:rPr>
      <w:rFonts w:ascii="Times New Roman" w:eastAsia="SimSun" w:hAnsi="Times New Roman" w:cs="Times New Roman"/>
      <w:sz w:val="24"/>
      <w:szCs w:val="24"/>
      <w:lang w:eastAsia="zh-CN"/>
    </w:rPr>
  </w:style>
  <w:style w:type="character" w:customStyle="1" w:styleId="IEEEParagraphChar">
    <w:name w:val="IEEE Paragraph Char"/>
    <w:link w:val="IEEEParagraph"/>
    <w:rsid w:val="0023051F"/>
    <w:rPr>
      <w:rFonts w:ascii="Times New Roman" w:eastAsia="SimSun" w:hAnsi="Times New Roman" w:cs="Times New Roman"/>
      <w:sz w:val="24"/>
      <w:szCs w:val="24"/>
      <w:lang w:val="id-ID" w:eastAsia="zh-CN"/>
    </w:rPr>
  </w:style>
  <w:style w:type="character" w:customStyle="1" w:styleId="mediumtext">
    <w:name w:val="medium_text"/>
    <w:basedOn w:val="DefaultParagraphFont"/>
    <w:rsid w:val="0023051F"/>
  </w:style>
  <w:style w:type="paragraph" w:customStyle="1" w:styleId="IEEEHeading1">
    <w:name w:val="IEEE Heading 1"/>
    <w:basedOn w:val="Normal"/>
    <w:next w:val="IEEEParagraph"/>
    <w:rsid w:val="0023051F"/>
    <w:pPr>
      <w:numPr>
        <w:numId w:val="6"/>
      </w:numPr>
      <w:adjustRightInd w:val="0"/>
      <w:snapToGrid w:val="0"/>
      <w:spacing w:before="180" w:after="60" w:line="240" w:lineRule="auto"/>
      <w:ind w:left="289" w:hanging="289"/>
      <w:jc w:val="center"/>
    </w:pPr>
    <w:rPr>
      <w:rFonts w:ascii="Times New Roman" w:eastAsia="SimSun" w:hAnsi="Times New Roman" w:cs="Times New Roman"/>
      <w:smallCaps/>
      <w:sz w:val="20"/>
      <w:szCs w:val="24"/>
      <w:lang w:eastAsia="zh-CN"/>
    </w:rPr>
  </w:style>
  <w:style w:type="paragraph" w:styleId="Caption">
    <w:name w:val="caption"/>
    <w:basedOn w:val="Normal"/>
    <w:next w:val="Normal"/>
    <w:qFormat/>
    <w:rsid w:val="0023051F"/>
    <w:pPr>
      <w:spacing w:before="120" w:after="120" w:line="240" w:lineRule="auto"/>
    </w:pPr>
    <w:rPr>
      <w:rFonts w:ascii="Times New Roman" w:eastAsia="SimSun" w:hAnsi="Times New Roman" w:cs="Times New Roman"/>
      <w:b/>
      <w:bCs/>
      <w:sz w:val="20"/>
      <w:szCs w:val="20"/>
      <w:lang w:eastAsia="zh-CN"/>
    </w:rPr>
  </w:style>
  <w:style w:type="paragraph" w:customStyle="1" w:styleId="IEEEFigureCaptionSingle-Line">
    <w:name w:val="IEEE Figure Caption Single-Line"/>
    <w:basedOn w:val="Normal"/>
    <w:next w:val="IEEEParagraph"/>
    <w:rsid w:val="0023051F"/>
    <w:pPr>
      <w:spacing w:before="120" w:after="120" w:line="240" w:lineRule="auto"/>
      <w:jc w:val="center"/>
    </w:pPr>
    <w:rPr>
      <w:rFonts w:ascii="Times New Roman" w:eastAsia="SimSun" w:hAnsi="Times New Roman" w:cs="Times New Roman"/>
      <w:sz w:val="16"/>
      <w:szCs w:val="24"/>
      <w:lang w:eastAsia="zh-CN"/>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chart" Target="charts/chart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hyperlink" Target="http://ojs.ikipmataram.ac.id/index.php/jurnalkependidikan/index" TargetMode="External"/><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Office_Excel_Worksheet1.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GB"/>
  <c:clrMapOvr bg1="lt1" tx1="dk1" bg2="lt2" tx2="dk2" accent1="accent1" accent2="accent2" accent3="accent3" accent4="accent4" accent5="accent5" accent6="accent6" hlink="hlink" folHlink="folHlink"/>
  <c:chart>
    <c:plotArea>
      <c:layout/>
      <c:lineChart>
        <c:grouping val="standard"/>
        <c:ser>
          <c:idx val="0"/>
          <c:order val="0"/>
          <c:tx>
            <c:strRef>
              <c:f>Sheet1!$B$1</c:f>
              <c:strCache>
                <c:ptCount val="1"/>
                <c:pt idx="0">
                  <c:v>APS</c:v>
                </c:pt>
              </c:strCache>
            </c:strRef>
          </c:tx>
          <c:marker>
            <c:symbol val="none"/>
          </c:marker>
          <c:cat>
            <c:strRef>
              <c:f>Sheet1!$A$2:$A$5</c:f>
              <c:strCache>
                <c:ptCount val="4"/>
                <c:pt idx="0">
                  <c:v>7-12 th-SD/MI</c:v>
                </c:pt>
                <c:pt idx="1">
                  <c:v>13-15 th-SMP/MTs</c:v>
                </c:pt>
                <c:pt idx="2">
                  <c:v>16-18 th-SMA/MA</c:v>
                </c:pt>
                <c:pt idx="3">
                  <c:v>19-24 th-Perguruan Tinggi</c:v>
                </c:pt>
              </c:strCache>
            </c:strRef>
          </c:cat>
          <c:val>
            <c:numRef>
              <c:f>Sheet1!$B$2:$B$5</c:f>
              <c:numCache>
                <c:formatCode>General</c:formatCode>
                <c:ptCount val="4"/>
                <c:pt idx="0">
                  <c:v>96.914600000000036</c:v>
                </c:pt>
                <c:pt idx="1">
                  <c:v>84.307300000000012</c:v>
                </c:pt>
                <c:pt idx="2">
                  <c:v>56.2346</c:v>
                </c:pt>
                <c:pt idx="3">
                  <c:v>15.0214</c:v>
                </c:pt>
              </c:numCache>
            </c:numRef>
          </c:val>
        </c:ser>
        <c:ser>
          <c:idx val="1"/>
          <c:order val="1"/>
          <c:tx>
            <c:strRef>
              <c:f>Sheet1!$C$1</c:f>
              <c:strCache>
                <c:ptCount val="1"/>
                <c:pt idx="0">
                  <c:v>APK</c:v>
                </c:pt>
              </c:strCache>
            </c:strRef>
          </c:tx>
          <c:marker>
            <c:symbol val="none"/>
          </c:marker>
          <c:cat>
            <c:strRef>
              <c:f>Sheet1!$A$2:$A$5</c:f>
              <c:strCache>
                <c:ptCount val="4"/>
                <c:pt idx="0">
                  <c:v>7-12 th-SD/MI</c:v>
                </c:pt>
                <c:pt idx="1">
                  <c:v>13-15 th-SMP/MTs</c:v>
                </c:pt>
                <c:pt idx="2">
                  <c:v>16-18 th-SMA/MA</c:v>
                </c:pt>
                <c:pt idx="3">
                  <c:v>19-24 th-Perguruan Tinggi</c:v>
                </c:pt>
              </c:strCache>
            </c:strRef>
          </c:cat>
          <c:val>
            <c:numRef>
              <c:f>Sheet1!$C$2:$C$5</c:f>
              <c:numCache>
                <c:formatCode>General</c:formatCode>
                <c:ptCount val="4"/>
                <c:pt idx="0" formatCode="0.00E+00">
                  <c:v>107.85</c:v>
                </c:pt>
                <c:pt idx="1">
                  <c:v>81.046600000000026</c:v>
                </c:pt>
                <c:pt idx="2">
                  <c:v>58.652000000000001</c:v>
                </c:pt>
                <c:pt idx="3">
                  <c:v>15.033800000000001</c:v>
                </c:pt>
              </c:numCache>
            </c:numRef>
          </c:val>
        </c:ser>
        <c:ser>
          <c:idx val="2"/>
          <c:order val="2"/>
          <c:tx>
            <c:strRef>
              <c:f>Sheet1!$D$1</c:f>
              <c:strCache>
                <c:ptCount val="1"/>
                <c:pt idx="0">
                  <c:v>APM</c:v>
                </c:pt>
              </c:strCache>
            </c:strRef>
          </c:tx>
          <c:marker>
            <c:symbol val="none"/>
          </c:marker>
          <c:cat>
            <c:strRef>
              <c:f>Sheet1!$A$2:$A$5</c:f>
              <c:strCache>
                <c:ptCount val="4"/>
                <c:pt idx="0">
                  <c:v>7-12 th-SD/MI</c:v>
                </c:pt>
                <c:pt idx="1">
                  <c:v>13-15 th-SMP/MTs</c:v>
                </c:pt>
                <c:pt idx="2">
                  <c:v>16-18 th-SMA/MA</c:v>
                </c:pt>
                <c:pt idx="3">
                  <c:v>19-24 th-Perguruan Tinggi</c:v>
                </c:pt>
              </c:strCache>
            </c:strRef>
          </c:cat>
          <c:val>
            <c:numRef>
              <c:f>Sheet1!$D$2:$D$5</c:f>
              <c:numCache>
                <c:formatCode>General</c:formatCode>
                <c:ptCount val="4"/>
                <c:pt idx="0">
                  <c:v>93.68389999999998</c:v>
                </c:pt>
                <c:pt idx="1">
                  <c:v>65.751499999999993</c:v>
                </c:pt>
                <c:pt idx="2">
                  <c:v>45.249500000000012</c:v>
                </c:pt>
                <c:pt idx="3">
                  <c:v>11.3284</c:v>
                </c:pt>
              </c:numCache>
            </c:numRef>
          </c:val>
        </c:ser>
        <c:marker val="1"/>
        <c:axId val="13293824"/>
        <c:axId val="40538112"/>
      </c:lineChart>
      <c:catAx>
        <c:axId val="13293824"/>
        <c:scaling>
          <c:orientation val="minMax"/>
        </c:scaling>
        <c:axPos val="b"/>
        <c:numFmt formatCode="General" sourceLinked="1"/>
        <c:tickLblPos val="nextTo"/>
        <c:crossAx val="40538112"/>
        <c:crosses val="autoZero"/>
        <c:auto val="1"/>
        <c:lblAlgn val="ctr"/>
        <c:lblOffset val="100"/>
      </c:catAx>
      <c:valAx>
        <c:axId val="40538112"/>
        <c:scaling>
          <c:orientation val="minMax"/>
        </c:scaling>
        <c:axPos val="l"/>
        <c:majorGridlines/>
        <c:numFmt formatCode="General" sourceLinked="1"/>
        <c:tickLblPos val="nextTo"/>
        <c:crossAx val="13293824"/>
        <c:crosses val="autoZero"/>
        <c:crossBetween val="between"/>
      </c:valAx>
    </c:plotArea>
    <c:legend>
      <c:legendPos val="r"/>
      <c:layout/>
    </c:legend>
    <c:plotVisOnly val="1"/>
    <c:dispBlanksAs val="gap"/>
  </c:chart>
  <c:spPr>
    <a:ln>
      <a:noFill/>
    </a:ln>
  </c:spPr>
  <c:externalData r:id="rId2"/>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DCB8C4-81A2-42F3-882C-05195818BC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14422</Words>
  <Characters>82207</Characters>
  <Application>Microsoft Office Word</Application>
  <DocSecurity>0</DocSecurity>
  <Lines>685</Lines>
  <Paragraphs>192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96437</CharactersWithSpaces>
  <SharedDoc>false</SharedDoc>
  <HLinks>
    <vt:vector size="12" baseType="variant">
      <vt:variant>
        <vt:i4>6488166</vt:i4>
      </vt:variant>
      <vt:variant>
        <vt:i4>0</vt:i4>
      </vt:variant>
      <vt:variant>
        <vt:i4>0</vt:i4>
      </vt:variant>
      <vt:variant>
        <vt:i4>5</vt:i4>
      </vt:variant>
      <vt:variant>
        <vt:lpwstr>http://creativecommons.org/licenses/by/4.0/</vt:lpwstr>
      </vt:variant>
      <vt:variant>
        <vt:lpwstr/>
      </vt:variant>
      <vt:variant>
        <vt:i4>2490401</vt:i4>
      </vt:variant>
      <vt:variant>
        <vt:i4>0</vt:i4>
      </vt:variant>
      <vt:variant>
        <vt:i4>0</vt:i4>
      </vt:variant>
      <vt:variant>
        <vt:i4>5</vt:i4>
      </vt:variant>
      <vt:variant>
        <vt:lpwstr>http://ojs.ikipmataram.ac.id/index.php/jurnalkependidikan/index</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05592</dc:creator>
  <cp:lastModifiedBy>Windows User</cp:lastModifiedBy>
  <cp:revision>2</cp:revision>
  <dcterms:created xsi:type="dcterms:W3CDTF">2021-02-16T04:12:00Z</dcterms:created>
  <dcterms:modified xsi:type="dcterms:W3CDTF">2021-02-16T04:12:00Z</dcterms:modified>
</cp:coreProperties>
</file>