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56" w:rsidRPr="002A013F" w:rsidRDefault="00012C56" w:rsidP="00012C56">
      <w:pPr>
        <w:spacing w:after="0"/>
        <w:jc w:val="both"/>
        <w:rPr>
          <w:rFonts w:ascii="Times New Roman" w:eastAsia="Times New Roman" w:hAnsi="Times New Roman" w:cs="Times New Roman"/>
          <w:b/>
          <w:sz w:val="24"/>
          <w:szCs w:val="24"/>
        </w:rPr>
      </w:pPr>
      <w:r w:rsidRPr="002A013F">
        <w:rPr>
          <w:rFonts w:ascii="Times New Roman" w:eastAsia="Times New Roman" w:hAnsi="Times New Roman" w:cs="Times New Roman"/>
          <w:b/>
          <w:sz w:val="24"/>
          <w:szCs w:val="24"/>
        </w:rPr>
        <w:t>METHOD</w:t>
      </w:r>
    </w:p>
    <w:p w:rsidR="00012C56" w:rsidRPr="002A013F" w:rsidRDefault="00012C56" w:rsidP="00012C56">
      <w:pPr>
        <w:spacing w:after="0"/>
        <w:jc w:val="both"/>
        <w:rPr>
          <w:rFonts w:ascii="Times New Roman" w:eastAsia="Times New Roman" w:hAnsi="Times New Roman" w:cs="Times New Roman"/>
          <w:b/>
          <w:sz w:val="24"/>
          <w:szCs w:val="24"/>
        </w:rPr>
      </w:pPr>
      <w:r w:rsidRPr="002A013F">
        <w:rPr>
          <w:rFonts w:ascii="Times New Roman" w:eastAsia="Times New Roman" w:hAnsi="Times New Roman" w:cs="Times New Roman"/>
          <w:b/>
          <w:sz w:val="24"/>
          <w:szCs w:val="24"/>
        </w:rPr>
        <w:t>RESEARCH DESIGN</w:t>
      </w:r>
    </w:p>
    <w:p w:rsidR="00012C56" w:rsidRPr="004928A2" w:rsidRDefault="00012C56" w:rsidP="00012C56">
      <w:pPr>
        <w:spacing w:after="0"/>
        <w:jc w:val="both"/>
        <w:rPr>
          <w:rFonts w:ascii="Times New Roman" w:eastAsia="Times New Roman" w:hAnsi="Times New Roman" w:cs="Times New Roman"/>
          <w:sz w:val="24"/>
          <w:szCs w:val="24"/>
        </w:rPr>
      </w:pPr>
    </w:p>
    <w:p w:rsidR="00012C56" w:rsidRPr="004928A2" w:rsidRDefault="00012C56" w:rsidP="00012C56">
      <w:pPr>
        <w:spacing w:after="0"/>
        <w:jc w:val="both"/>
        <w:rPr>
          <w:rFonts w:ascii="Times New Roman" w:eastAsia="Times New Roman" w:hAnsi="Times New Roman" w:cs="Times New Roman"/>
          <w:sz w:val="24"/>
          <w:szCs w:val="24"/>
        </w:rPr>
      </w:pPr>
      <w:r w:rsidRPr="004928A2">
        <w:rPr>
          <w:rFonts w:ascii="Times New Roman" w:eastAsia="Times New Roman" w:hAnsi="Times New Roman" w:cs="Times New Roman"/>
          <w:sz w:val="24"/>
          <w:szCs w:val="24"/>
        </w:rPr>
        <w:t xml:space="preserve">An embedded mixed-methods approach was adopted to obtain a detailed understanding of secondary school students' speaking self-efficacy with regard to Task Based Instruction (TBI). As </w:t>
      </w:r>
      <w:r>
        <w:rPr>
          <w:rFonts w:ascii="Times New Roman" w:eastAsia="Times New Roman" w:hAnsi="Times New Roman" w:cs="Times New Roman"/>
          <w:sz w:val="24"/>
          <w:szCs w:val="24"/>
        </w:rPr>
        <w:t>Creswell (2014)</w:t>
      </w:r>
      <w:r w:rsidRPr="004928A2">
        <w:rPr>
          <w:rFonts w:ascii="Times New Roman" w:eastAsia="Times New Roman" w:hAnsi="Times New Roman" w:cs="Times New Roman"/>
          <w:sz w:val="24"/>
          <w:szCs w:val="24"/>
        </w:rPr>
        <w:t xml:space="preserve"> asserts, utilizing triangulation, various data collection approaches will be achieved for the researchers. Concerning the quantitative part, two intact classes were selected by applying a quasi treatment approach. These participants went through pretest, intervention, and posttest procedures. In relation to the qualitative section, the data were collected through an interview.</w:t>
      </w:r>
    </w:p>
    <w:p w:rsidR="00012C56" w:rsidRPr="004928A2" w:rsidRDefault="00012C56" w:rsidP="00012C56">
      <w:pPr>
        <w:tabs>
          <w:tab w:val="left" w:pos="810"/>
        </w:tabs>
        <w:spacing w:after="0"/>
        <w:jc w:val="both"/>
        <w:rPr>
          <w:rFonts w:ascii="Times New Roman" w:eastAsia="Times New Roman" w:hAnsi="Times New Roman" w:cs="Times New Roman"/>
          <w:sz w:val="24"/>
          <w:szCs w:val="24"/>
        </w:rPr>
      </w:pPr>
    </w:p>
    <w:p w:rsidR="00012C56" w:rsidRPr="002A013F" w:rsidRDefault="00012C56" w:rsidP="00012C56">
      <w:pPr>
        <w:spacing w:after="0"/>
        <w:jc w:val="both"/>
        <w:rPr>
          <w:rFonts w:ascii="Times New Roman" w:hAnsi="Times New Roman" w:cs="Times New Roman"/>
          <w:b/>
          <w:sz w:val="24"/>
          <w:szCs w:val="24"/>
        </w:rPr>
      </w:pPr>
      <w:bookmarkStart w:id="0" w:name="_Toc125562305"/>
      <w:r w:rsidRPr="002A013F">
        <w:rPr>
          <w:rFonts w:ascii="Times New Roman" w:hAnsi="Times New Roman" w:cs="Times New Roman"/>
          <w:b/>
          <w:sz w:val="24"/>
          <w:szCs w:val="24"/>
        </w:rPr>
        <w:t xml:space="preserve">Participants   </w:t>
      </w:r>
      <w:bookmarkStart w:id="1" w:name="_Toc97198730"/>
      <w:bookmarkStart w:id="2" w:name="_Toc125562306"/>
      <w:r w:rsidRPr="002A013F">
        <w:rPr>
          <w:rFonts w:ascii="Times New Roman" w:hAnsi="Times New Roman" w:cs="Times New Roman"/>
          <w:b/>
          <w:sz w:val="24"/>
          <w:szCs w:val="24"/>
        </w:rPr>
        <w:t xml:space="preserve">and   Sampling </w:t>
      </w:r>
      <w:bookmarkEnd w:id="1"/>
      <w:bookmarkEnd w:id="2"/>
      <w:r w:rsidRPr="002A013F">
        <w:rPr>
          <w:rFonts w:ascii="Times New Roman" w:hAnsi="Times New Roman" w:cs="Times New Roman"/>
          <w:b/>
          <w:sz w:val="24"/>
          <w:szCs w:val="24"/>
        </w:rPr>
        <w:t>of the Study</w:t>
      </w:r>
      <w:bookmarkEnd w:id="0"/>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Participants were grade eleven social science students attending English subject in Shambu secondary School, HGWZ of Oromia in 2022 academic year. They had been selected for they had to carry a lot of EFL speaking tasks in the remaining years in the future and they were in their career of learning in the future is English. Therefore, this study adopted a pre-post quasi-treatment design with two intact classes. </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 xml:space="preserve"> Instruments</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Speaking Self-Efficacy Questionnaire.</w:t>
      </w:r>
    </w:p>
    <w:p w:rsidR="00012C56" w:rsidRPr="002A013F" w:rsidRDefault="00012C56" w:rsidP="00012C56">
      <w:pPr>
        <w:pStyle w:val="Heading3"/>
        <w:spacing w:line="276" w:lineRule="auto"/>
        <w:ind w:left="360" w:hanging="360"/>
        <w:rPr>
          <w:sz w:val="24"/>
          <w:szCs w:val="24"/>
        </w:rPr>
      </w:pPr>
      <w:bookmarkStart w:id="3" w:name="_Toc97198733"/>
      <w:bookmarkStart w:id="4" w:name="_Toc125562309"/>
      <w:r w:rsidRPr="002A013F">
        <w:rPr>
          <w:sz w:val="24"/>
          <w:szCs w:val="24"/>
        </w:rPr>
        <w:t>Questionnaire</w:t>
      </w:r>
      <w:bookmarkEnd w:id="3"/>
      <w:bookmarkEnd w:id="4"/>
    </w:p>
    <w:p w:rsidR="00012C56" w:rsidRPr="004928A2" w:rsidRDefault="00012C56" w:rsidP="00012C56">
      <w:pPr>
        <w:tabs>
          <w:tab w:val="left" w:pos="2430"/>
        </w:tabs>
        <w:spacing w:after="0"/>
        <w:jc w:val="both"/>
        <w:rPr>
          <w:rFonts w:ascii="Times New Roman" w:hAnsi="Times New Roman" w:cs="Times New Roman"/>
          <w:sz w:val="24"/>
          <w:szCs w:val="24"/>
        </w:rPr>
      </w:pPr>
      <w:r w:rsidRPr="004928A2">
        <w:rPr>
          <w:rFonts w:ascii="Times New Roman" w:hAnsi="Times New Roman" w:cs="Times New Roman"/>
          <w:sz w:val="24"/>
          <w:szCs w:val="24"/>
        </w:rPr>
        <w:t>The first data collection instrument was questionnaire which was used to measure the two groups students about their self efficacy beliefs about TBLI in their speaking classroom before and after the treatment. In this study, responses to the questionnaire was used in a more generic way to the degree of</w:t>
      </w:r>
      <w:r w:rsidRPr="004928A2">
        <w:rPr>
          <w:rFonts w:ascii="Times New Roman" w:hAnsi="Times New Roman" w:cs="Times New Roman"/>
          <w:color w:val="FF0000"/>
          <w:sz w:val="24"/>
          <w:szCs w:val="24"/>
        </w:rPr>
        <w:t xml:space="preserve"> </w:t>
      </w:r>
      <w:r w:rsidRPr="004928A2">
        <w:rPr>
          <w:rFonts w:ascii="Times New Roman" w:hAnsi="Times New Roman" w:cs="Times New Roman"/>
          <w:sz w:val="24"/>
          <w:szCs w:val="24"/>
        </w:rPr>
        <w:t>positive/ negative affective trainees’ responses to the particular TBLI. The self efficacy questionnaire was adapted from Asakereh, and Dehghannezhad (2015) with a little development and including informed-consent form which informed students about the questionnaire and it was conducted with the 5-point Likert scale (from strongly disagree to strongly agree) and administered before and after the tasks treatment for the two groups.</w:t>
      </w:r>
    </w:p>
    <w:p w:rsidR="00012C56" w:rsidRPr="004928A2" w:rsidRDefault="00012C56" w:rsidP="00012C56">
      <w:pPr>
        <w:spacing w:after="0"/>
        <w:jc w:val="both"/>
        <w:rPr>
          <w:rFonts w:ascii="Times New Roman" w:hAnsi="Times New Roman" w:cs="Times New Roman"/>
          <w:color w:val="FF0000"/>
          <w:sz w:val="24"/>
          <w:szCs w:val="24"/>
        </w:rPr>
      </w:pPr>
      <w:r w:rsidRPr="004928A2">
        <w:rPr>
          <w:rFonts w:ascii="Times New Roman" w:hAnsi="Times New Roman" w:cs="Times New Roman"/>
          <w:sz w:val="24"/>
          <w:szCs w:val="24"/>
        </w:rPr>
        <w:t xml:space="preserve">The rubrics for speaking self efficacy beliefs evaluations were adapted by the researchers from </w:t>
      </w:r>
      <w:r w:rsidRPr="00C335B3">
        <w:rPr>
          <w:rFonts w:ascii="Times New Roman" w:hAnsi="Times New Roman" w:cs="Times New Roman"/>
          <w:sz w:val="24"/>
          <w:szCs w:val="24"/>
          <w:lang w:val="en-US"/>
        </w:rPr>
        <w:t>(Hadi,2015</w:t>
      </w:r>
      <w:r w:rsidRPr="00C335B3">
        <w:rPr>
          <w:rFonts w:ascii="Times New Roman" w:hAnsi="Times New Roman" w:cs="Times New Roman"/>
          <w:sz w:val="24"/>
          <w:szCs w:val="24"/>
        </w:rPr>
        <w:t xml:space="preserve">) </w:t>
      </w:r>
      <w:r w:rsidRPr="004928A2">
        <w:rPr>
          <w:rFonts w:ascii="Times New Roman" w:hAnsi="Times New Roman" w:cs="Times New Roman"/>
          <w:sz w:val="24"/>
          <w:szCs w:val="24"/>
        </w:rPr>
        <w:t xml:space="preserve">to measure the variables magnitude, generality and strength.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The validity and reliability of the instruments were checked in such a way that the instruments could measure what they were supposed to measure. The feedback obtained from the EFL teachers helped the researchers to modify and make changes. Like the tests, some of the changes were regarding the wording of the statements, their order, format, content and clarity. </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Interview.</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Another instrument used to examine students’ views of the effects of TBLI on their speaking self-efficacy in speaking skills used to triangulate the findings was conducted with eight students from the treatment group. The students’ participation was entirely voluntary, and they signed informed consent forms prior to the interview. Hence, the researchers prepared a set of preplanned interview questions to elicit various conceptions. In this case, the researchers investigated outer and inner conceptions of secondary school students about their experiences with TBLI intervention and how it affected their beliefs about their capabilities to generate </w:t>
      </w:r>
      <w:r w:rsidRPr="004928A2">
        <w:rPr>
          <w:rFonts w:ascii="Times New Roman" w:hAnsi="Times New Roman" w:cs="Times New Roman"/>
          <w:sz w:val="24"/>
          <w:szCs w:val="24"/>
        </w:rPr>
        <w:lastRenderedPageBreak/>
        <w:t>specific levels of performance in speaking self-efficacy and how TBLI helped them to be ready to enter into conversation, at a particular time with a specific person or persons, using English language</w:t>
      </w:r>
      <w:r w:rsidRPr="004928A2">
        <w:rPr>
          <w:rFonts w:ascii="Times New Roman" w:hAnsi="Times New Roman" w:cs="Times New Roman"/>
          <w:color w:val="FF0000"/>
          <w:sz w:val="24"/>
          <w:szCs w:val="24"/>
        </w:rPr>
        <w:t xml:space="preserve">. </w:t>
      </w:r>
      <w:r w:rsidRPr="004928A2">
        <w:rPr>
          <w:rFonts w:ascii="Times New Roman" w:hAnsi="Times New Roman" w:cs="Times New Roman"/>
          <w:sz w:val="24"/>
          <w:szCs w:val="24"/>
        </w:rPr>
        <w:t xml:space="preserve">The interview was thoroughly audio-recorded, transcribed, and analyzed using a content analysis approach. </w:t>
      </w:r>
    </w:p>
    <w:p w:rsidR="00012C56" w:rsidRPr="004928A2" w:rsidRDefault="00012C56" w:rsidP="00012C56">
      <w:pPr>
        <w:spacing w:after="0"/>
        <w:jc w:val="both"/>
        <w:rPr>
          <w:rFonts w:ascii="Times New Roman" w:hAnsi="Times New Roman" w:cs="Times New Roman"/>
          <w:sz w:val="24"/>
          <w:szCs w:val="24"/>
        </w:rPr>
      </w:pPr>
      <w:r w:rsidRPr="002A013F">
        <w:rPr>
          <w:rFonts w:ascii="Times New Roman" w:hAnsi="Times New Roman" w:cs="Times New Roman"/>
          <w:b/>
          <w:sz w:val="24"/>
          <w:szCs w:val="24"/>
        </w:rPr>
        <w:t>Data Collection Procedures</w:t>
      </w:r>
      <w:r w:rsidRPr="004928A2">
        <w:rPr>
          <w:rFonts w:ascii="Times New Roman" w:hAnsi="Times New Roman" w:cs="Times New Roman"/>
          <w:sz w:val="24"/>
          <w:szCs w:val="24"/>
        </w:rPr>
        <w:t>.</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Before the process of gathering data, the researchers made series contact with the school directors so as to get the necessary information and cooperation. Permission to conduct the study was obtained from the school. Then, the relevant literature was reviewed to establish the theoretical background of the study.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After the researchers selected the participants of the study, they assigned the students into treatment and comparison groups. Then, the researchers adjusted an EFL teacher to make a contact with them after giving training how the EFL instructor teaches and how the two raters analyze to assessed the students.</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After the researchers adapted the questionnaire, the EFL teachers and the researchers checked the reliability and validity of the test questionnaire. Then, the questionnaire was administered by EFL teachers for both treatment and comparison group students in order to assess both groups self efficacy level before the treatment.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Next, the pre-questionnaire was analyzed, and the task based instruction was implemented by a volunteer teacher selected voluntarily. The instruction was applied in between March to June by EFL teacher for both groups because the comparison group was forwarded conventionally.</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After three months of the TBLI intervention, the post questionnaire was given for both treatment and comparison groups to check the effects of TBLI on EFL students’ speaking self efficacy beliefs  achievement..</w:t>
      </w:r>
    </w:p>
    <w:p w:rsidR="00012C56"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At the end of the intervention, an interview session was held with the treatment group having the representatives from each group. It was used to triangulate the answers for the first basic research question. The findings of the study were analyzed and discussed by the researchers.</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 xml:space="preserve">Methods of Data Analysis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The speaking self efficacy beliefs questionnaire (as pre-questionnaire and post-questionnaire) and interview were analyzed to answer the basic research questions. Both pre-questionnaire and post-questionnaire were analyzed and were converted into mean and S.D. The first step of the data analysis process was to determine the mean and standard deviation of each pre-questionnaire and post-questionnaire score. In this research, after all the assumptions of ANCOVA was checked, it, ANCOVA (Pallant, 2010; Tavakoli,2012) was used to compare the scores via Statistical Packages of Social Science (SPSS) version 26 to check if there is a statistically significant difference between pre-questionnaire and post-questionnaire.</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For the qualitative data content analysis (CA) was used as an essential technique with a chief purpose to analyze the repeated patterns in the </w:t>
      </w:r>
      <w:r w:rsidRPr="00C335B3">
        <w:rPr>
          <w:rFonts w:ascii="Times New Roman" w:hAnsi="Times New Roman" w:cs="Times New Roman"/>
          <w:sz w:val="24"/>
          <w:szCs w:val="24"/>
        </w:rPr>
        <w:t>textual data (Clarke &amp; Braun, 2013).</w:t>
      </w:r>
    </w:p>
    <w:p w:rsidR="006D0A89" w:rsidRDefault="006D0A89">
      <w:pPr>
        <w:rPr>
          <w:lang w:val="en-US"/>
        </w:rPr>
      </w:pPr>
    </w:p>
    <w:p w:rsidR="00542038" w:rsidRPr="002A013F" w:rsidRDefault="00542038" w:rsidP="00542038">
      <w:pPr>
        <w:spacing w:after="0"/>
        <w:jc w:val="both"/>
        <w:rPr>
          <w:rFonts w:ascii="Times New Roman" w:hAnsi="Times New Roman" w:cs="Times New Roman"/>
          <w:b/>
          <w:sz w:val="24"/>
          <w:szCs w:val="24"/>
        </w:rPr>
      </w:pPr>
      <w:r w:rsidRPr="002A013F">
        <w:rPr>
          <w:rFonts w:ascii="Times New Roman" w:hAnsi="Times New Roman" w:cs="Times New Roman"/>
          <w:b/>
          <w:sz w:val="24"/>
          <w:szCs w:val="24"/>
        </w:rPr>
        <w:t>Results</w:t>
      </w:r>
    </w:p>
    <w:p w:rsidR="00542038" w:rsidRPr="002A013F" w:rsidRDefault="00542038" w:rsidP="00542038">
      <w:pPr>
        <w:spacing w:after="0"/>
        <w:jc w:val="both"/>
        <w:rPr>
          <w:rFonts w:ascii="Times New Roman" w:hAnsi="Times New Roman" w:cs="Times New Roman"/>
          <w:b/>
          <w:sz w:val="24"/>
          <w:szCs w:val="24"/>
        </w:rPr>
      </w:pPr>
      <w:r w:rsidRPr="002A013F">
        <w:rPr>
          <w:rFonts w:ascii="Times New Roman" w:hAnsi="Times New Roman" w:cs="Times New Roman"/>
          <w:b/>
          <w:sz w:val="24"/>
          <w:szCs w:val="24"/>
        </w:rPr>
        <w:t>The Results of the first research question.</w:t>
      </w:r>
    </w:p>
    <w:p w:rsidR="00542038" w:rsidRPr="00945F32" w:rsidRDefault="00542038" w:rsidP="00542038">
      <w:pPr>
        <w:spacing w:after="0"/>
        <w:jc w:val="both"/>
        <w:rPr>
          <w:rFonts w:ascii="Times New Roman" w:hAnsi="Times New Roman" w:cs="Times New Roman"/>
          <w:sz w:val="24"/>
          <w:szCs w:val="24"/>
          <w:lang w:val="en-US"/>
        </w:rPr>
      </w:pPr>
      <w:r w:rsidRPr="002A013F">
        <w:rPr>
          <w:rFonts w:ascii="Times New Roman" w:hAnsi="Times New Roman" w:cs="Times New Roman"/>
          <w:sz w:val="24"/>
          <w:szCs w:val="24"/>
        </w:rPr>
        <w:t xml:space="preserve">Research question one examined the effects of the TBLI on the participants’ self efficacy beliefs.  To  answer  this basic research question, the  pre/post  data  collected  were analyzed  using  descriptive  and  inferential  statistics. After the skewenes and kurtosis checked as it is thus valid </w:t>
      </w:r>
      <w:r w:rsidRPr="002A013F">
        <w:rPr>
          <w:rFonts w:ascii="Times New Roman" w:hAnsi="Times New Roman" w:cs="Times New Roman"/>
          <w:sz w:val="24"/>
          <w:szCs w:val="24"/>
        </w:rPr>
        <w:lastRenderedPageBreak/>
        <w:t>to use Ancova tests. Before using the Ancova tests, descriptive statistics were run to compare the two groups' pre/post mean scores. The results are presented in Table 4.1.</w:t>
      </w:r>
    </w:p>
    <w:p w:rsidR="00542038" w:rsidRPr="002A013F" w:rsidRDefault="00542038" w:rsidP="00542038">
      <w:pPr>
        <w:pStyle w:val="Caption"/>
        <w:keepNext/>
        <w:spacing w:after="0" w:line="276" w:lineRule="auto"/>
        <w:jc w:val="both"/>
        <w:rPr>
          <w:rFonts w:ascii="Times New Roman" w:hAnsi="Times New Roman" w:cs="Times New Roman"/>
          <w:color w:val="auto"/>
          <w:sz w:val="24"/>
          <w:szCs w:val="24"/>
        </w:rPr>
      </w:pPr>
      <w:r w:rsidRPr="002A013F">
        <w:rPr>
          <w:rFonts w:ascii="Times New Roman" w:hAnsi="Times New Roman" w:cs="Times New Roman"/>
          <w:color w:val="auto"/>
          <w:sz w:val="24"/>
          <w:szCs w:val="24"/>
        </w:rPr>
        <w:t>Table 4.1 Descriptive statistics of the Pre/post speaking Test Mean Scores</w:t>
      </w:r>
    </w:p>
    <w:tbl>
      <w:tblPr>
        <w:tblStyle w:val="TableGrid"/>
        <w:tblW w:w="5170" w:type="dxa"/>
        <w:tblLayout w:type="fixed"/>
        <w:tblLook w:val="0000"/>
      </w:tblPr>
      <w:tblGrid>
        <w:gridCol w:w="1376"/>
        <w:gridCol w:w="1438"/>
        <w:gridCol w:w="1178"/>
        <w:gridCol w:w="1178"/>
      </w:tblGrid>
      <w:tr w:rsidR="00542038" w:rsidRPr="004928A2" w:rsidTr="00D6283D">
        <w:tc>
          <w:tcPr>
            <w:tcW w:w="5170" w:type="dxa"/>
            <w:gridSpan w:val="4"/>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b/>
                <w:bCs/>
                <w:color w:val="010205"/>
                <w:sz w:val="24"/>
                <w:szCs w:val="24"/>
              </w:rPr>
              <w:t>Report</w:t>
            </w:r>
          </w:p>
        </w:tc>
      </w:tr>
      <w:tr w:rsidR="00542038" w:rsidRPr="004928A2" w:rsidTr="00D6283D">
        <w:tc>
          <w:tcPr>
            <w:tcW w:w="2814" w:type="dxa"/>
            <w:gridSpan w:val="2"/>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Group</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Pretest</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Posttest</w:t>
            </w:r>
          </w:p>
        </w:tc>
      </w:tr>
      <w:tr w:rsidR="00542038" w:rsidRPr="004928A2" w:rsidTr="00D6283D">
        <w:tc>
          <w:tcPr>
            <w:tcW w:w="1376" w:type="dxa"/>
            <w:vMerge w:val="restart"/>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Treatment</w:t>
            </w: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Mean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73.9286</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82.5714</w:t>
            </w:r>
          </w:p>
        </w:tc>
      </w:tr>
      <w:tr w:rsidR="00542038" w:rsidRPr="004928A2" w:rsidTr="00D6283D">
        <w:tc>
          <w:tcPr>
            <w:tcW w:w="1376" w:type="dxa"/>
            <w:vMerge/>
          </w:tcPr>
          <w:p w:rsidR="00542038" w:rsidRPr="004928A2" w:rsidRDefault="00542038" w:rsidP="00D6283D">
            <w:pPr>
              <w:autoSpaceDE w:val="0"/>
              <w:autoSpaceDN w:val="0"/>
              <w:adjustRightInd w:val="0"/>
              <w:spacing w:line="276" w:lineRule="auto"/>
              <w:jc w:val="both"/>
              <w:rPr>
                <w:rFonts w:ascii="Times New Roman" w:hAnsi="Times New Roman" w:cs="Times New Roman"/>
                <w:color w:val="010205"/>
                <w:sz w:val="24"/>
                <w:szCs w:val="24"/>
              </w:rPr>
            </w:pP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42</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42</w:t>
            </w:r>
          </w:p>
        </w:tc>
      </w:tr>
      <w:tr w:rsidR="00542038" w:rsidRPr="004928A2" w:rsidTr="00D6283D">
        <w:tc>
          <w:tcPr>
            <w:tcW w:w="1376" w:type="dxa"/>
            <w:vMerge/>
          </w:tcPr>
          <w:p w:rsidR="00542038" w:rsidRPr="004928A2" w:rsidRDefault="00542038" w:rsidP="00D6283D">
            <w:pPr>
              <w:autoSpaceDE w:val="0"/>
              <w:autoSpaceDN w:val="0"/>
              <w:adjustRightInd w:val="0"/>
              <w:spacing w:line="276" w:lineRule="auto"/>
              <w:jc w:val="both"/>
              <w:rPr>
                <w:rFonts w:ascii="Times New Roman" w:hAnsi="Times New Roman" w:cs="Times New Roman"/>
                <w:color w:val="010205"/>
                <w:sz w:val="24"/>
                <w:szCs w:val="24"/>
              </w:rPr>
            </w:pP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Std. Deviation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8.58357</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7.22510</w:t>
            </w:r>
          </w:p>
        </w:tc>
      </w:tr>
      <w:tr w:rsidR="00542038" w:rsidRPr="004928A2" w:rsidTr="00D6283D">
        <w:tc>
          <w:tcPr>
            <w:tcW w:w="1376" w:type="dxa"/>
            <w:vMerge w:val="restart"/>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Comparison</w:t>
            </w: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Mean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74.4762</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74.2619</w:t>
            </w:r>
          </w:p>
        </w:tc>
      </w:tr>
      <w:tr w:rsidR="00542038" w:rsidRPr="004928A2" w:rsidTr="00D6283D">
        <w:tc>
          <w:tcPr>
            <w:tcW w:w="1376" w:type="dxa"/>
            <w:vMerge/>
          </w:tcPr>
          <w:p w:rsidR="00542038" w:rsidRPr="004928A2" w:rsidRDefault="00542038" w:rsidP="00D6283D">
            <w:pPr>
              <w:autoSpaceDE w:val="0"/>
              <w:autoSpaceDN w:val="0"/>
              <w:adjustRightInd w:val="0"/>
              <w:spacing w:line="276" w:lineRule="auto"/>
              <w:jc w:val="both"/>
              <w:rPr>
                <w:rFonts w:ascii="Times New Roman" w:hAnsi="Times New Roman" w:cs="Times New Roman"/>
                <w:color w:val="010205"/>
                <w:sz w:val="24"/>
                <w:szCs w:val="24"/>
              </w:rPr>
            </w:pP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42</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42</w:t>
            </w:r>
          </w:p>
        </w:tc>
      </w:tr>
      <w:tr w:rsidR="00542038" w:rsidRPr="004928A2" w:rsidTr="00D6283D">
        <w:tc>
          <w:tcPr>
            <w:tcW w:w="1376" w:type="dxa"/>
            <w:vMerge/>
          </w:tcPr>
          <w:p w:rsidR="00542038" w:rsidRPr="004928A2" w:rsidRDefault="00542038" w:rsidP="00D6283D">
            <w:pPr>
              <w:autoSpaceDE w:val="0"/>
              <w:autoSpaceDN w:val="0"/>
              <w:adjustRightInd w:val="0"/>
              <w:spacing w:line="276" w:lineRule="auto"/>
              <w:jc w:val="both"/>
              <w:rPr>
                <w:rFonts w:ascii="Times New Roman" w:hAnsi="Times New Roman" w:cs="Times New Roman"/>
                <w:color w:val="010205"/>
                <w:sz w:val="24"/>
                <w:szCs w:val="24"/>
              </w:rPr>
            </w:pP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Std. Deviation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7.82191</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8.18404</w:t>
            </w:r>
          </w:p>
        </w:tc>
      </w:tr>
      <w:tr w:rsidR="00542038" w:rsidRPr="004928A2" w:rsidTr="00D6283D">
        <w:tc>
          <w:tcPr>
            <w:tcW w:w="1376" w:type="dxa"/>
            <w:vMerge w:val="restart"/>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Total</w:t>
            </w: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Mean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74.2024</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78.4167</w:t>
            </w:r>
          </w:p>
        </w:tc>
      </w:tr>
      <w:tr w:rsidR="00542038" w:rsidRPr="004928A2" w:rsidTr="00D6283D">
        <w:tc>
          <w:tcPr>
            <w:tcW w:w="1376" w:type="dxa"/>
            <w:vMerge/>
          </w:tcPr>
          <w:p w:rsidR="00542038" w:rsidRPr="004928A2" w:rsidRDefault="00542038" w:rsidP="00D6283D">
            <w:pPr>
              <w:autoSpaceDE w:val="0"/>
              <w:autoSpaceDN w:val="0"/>
              <w:adjustRightInd w:val="0"/>
              <w:spacing w:line="276" w:lineRule="auto"/>
              <w:jc w:val="both"/>
              <w:rPr>
                <w:rFonts w:ascii="Times New Roman" w:hAnsi="Times New Roman" w:cs="Times New Roman"/>
                <w:color w:val="010205"/>
                <w:sz w:val="24"/>
                <w:szCs w:val="24"/>
              </w:rPr>
            </w:pP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84</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84</w:t>
            </w:r>
          </w:p>
        </w:tc>
      </w:tr>
      <w:tr w:rsidR="00542038" w:rsidRPr="004928A2" w:rsidTr="00D6283D">
        <w:tc>
          <w:tcPr>
            <w:tcW w:w="1376" w:type="dxa"/>
            <w:vMerge/>
          </w:tcPr>
          <w:p w:rsidR="00542038" w:rsidRPr="004928A2" w:rsidRDefault="00542038" w:rsidP="00D6283D">
            <w:pPr>
              <w:autoSpaceDE w:val="0"/>
              <w:autoSpaceDN w:val="0"/>
              <w:adjustRightInd w:val="0"/>
              <w:spacing w:line="276" w:lineRule="auto"/>
              <w:jc w:val="both"/>
              <w:rPr>
                <w:rFonts w:ascii="Times New Roman" w:hAnsi="Times New Roman" w:cs="Times New Roman"/>
                <w:color w:val="010205"/>
                <w:sz w:val="24"/>
                <w:szCs w:val="24"/>
              </w:rPr>
            </w:pPr>
          </w:p>
        </w:tc>
        <w:tc>
          <w:tcPr>
            <w:tcW w:w="143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Std. Deviation</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8.16661</w:t>
            </w:r>
          </w:p>
        </w:tc>
        <w:tc>
          <w:tcPr>
            <w:tcW w:w="117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8.73741</w:t>
            </w:r>
          </w:p>
        </w:tc>
      </w:tr>
    </w:tbl>
    <w:p w:rsidR="00542038" w:rsidRPr="00945F32" w:rsidRDefault="00542038" w:rsidP="00542038">
      <w:pPr>
        <w:autoSpaceDE w:val="0"/>
        <w:autoSpaceDN w:val="0"/>
        <w:adjustRightInd w:val="0"/>
        <w:spacing w:after="0"/>
        <w:jc w:val="both"/>
        <w:rPr>
          <w:rFonts w:ascii="Times New Roman" w:hAnsi="Times New Roman" w:cs="Times New Roman"/>
          <w:sz w:val="24"/>
          <w:szCs w:val="24"/>
          <w:lang w:val="en-US"/>
        </w:rPr>
      </w:pPr>
    </w:p>
    <w:p w:rsidR="00542038" w:rsidRPr="004928A2" w:rsidRDefault="00542038" w:rsidP="00542038">
      <w:pPr>
        <w:spacing w:after="0"/>
        <w:jc w:val="both"/>
        <w:rPr>
          <w:rFonts w:ascii="Times New Roman" w:hAnsi="Times New Roman" w:cs="Times New Roman"/>
          <w:sz w:val="24"/>
          <w:szCs w:val="24"/>
        </w:rPr>
      </w:pPr>
      <w:r w:rsidRPr="004928A2">
        <w:rPr>
          <w:rFonts w:ascii="Times New Roman" w:hAnsi="Times New Roman" w:cs="Times New Roman"/>
          <w:sz w:val="24"/>
          <w:szCs w:val="24"/>
        </w:rPr>
        <w:t>As Table 4.1</w:t>
      </w:r>
      <w:r w:rsidRPr="004928A2">
        <w:rPr>
          <w:rFonts w:ascii="Times New Roman" w:hAnsi="Times New Roman" w:cs="Times New Roman"/>
          <w:color w:val="FF0000"/>
          <w:sz w:val="24"/>
          <w:szCs w:val="24"/>
        </w:rPr>
        <w:t xml:space="preserve"> </w:t>
      </w:r>
      <w:r w:rsidRPr="004928A2">
        <w:rPr>
          <w:rFonts w:ascii="Times New Roman" w:hAnsi="Times New Roman" w:cs="Times New Roman"/>
          <w:sz w:val="24"/>
          <w:szCs w:val="24"/>
        </w:rPr>
        <w:t>depicts, the pre-means for the</w:t>
      </w:r>
      <w:r w:rsidRPr="008C3FB4">
        <w:rPr>
          <w:rFonts w:ascii="Times New Roman" w:hAnsi="Times New Roman" w:cs="Times New Roman"/>
          <w:color w:val="FF0000"/>
          <w:sz w:val="24"/>
          <w:szCs w:val="24"/>
        </w:rPr>
        <w:t xml:space="preserve"> </w:t>
      </w:r>
      <w:r>
        <w:rPr>
          <w:rFonts w:ascii="Times New Roman" w:hAnsi="Times New Roman" w:cs="Times New Roman"/>
          <w:sz w:val="24"/>
          <w:szCs w:val="24"/>
        </w:rPr>
        <w:t>comparison group</w:t>
      </w:r>
      <w:r w:rsidRPr="004928A2">
        <w:rPr>
          <w:rFonts w:ascii="Times New Roman" w:hAnsi="Times New Roman" w:cs="Times New Roman"/>
          <w:sz w:val="24"/>
          <w:szCs w:val="24"/>
        </w:rPr>
        <w:t xml:space="preserve"> (M = </w:t>
      </w:r>
      <w:r w:rsidRPr="004928A2">
        <w:rPr>
          <w:rFonts w:ascii="Times New Roman" w:hAnsi="Times New Roman" w:cs="Times New Roman"/>
          <w:color w:val="010205"/>
          <w:sz w:val="24"/>
          <w:szCs w:val="24"/>
        </w:rPr>
        <w:t>74.47</w:t>
      </w:r>
      <w:r w:rsidRPr="004928A2">
        <w:rPr>
          <w:rFonts w:ascii="Times New Roman" w:hAnsi="Times New Roman" w:cs="Times New Roman"/>
          <w:sz w:val="24"/>
          <w:szCs w:val="24"/>
        </w:rPr>
        <w:t>, SD =</w:t>
      </w:r>
      <w:r w:rsidRPr="004928A2">
        <w:rPr>
          <w:rFonts w:ascii="Times New Roman" w:hAnsi="Times New Roman" w:cs="Times New Roman"/>
          <w:color w:val="010205"/>
          <w:sz w:val="24"/>
          <w:szCs w:val="24"/>
        </w:rPr>
        <w:t>7.82</w:t>
      </w:r>
      <w:r>
        <w:rPr>
          <w:rFonts w:ascii="Times New Roman" w:hAnsi="Times New Roman" w:cs="Times New Roman"/>
          <w:sz w:val="24"/>
          <w:szCs w:val="24"/>
        </w:rPr>
        <w:t>) and the T</w:t>
      </w:r>
      <w:r w:rsidRPr="004928A2">
        <w:rPr>
          <w:rFonts w:ascii="Times New Roman" w:hAnsi="Times New Roman" w:cs="Times New Roman"/>
          <w:sz w:val="24"/>
          <w:szCs w:val="24"/>
        </w:rPr>
        <w:t xml:space="preserve">G (M = </w:t>
      </w:r>
      <w:r w:rsidRPr="004928A2">
        <w:rPr>
          <w:rFonts w:ascii="Times New Roman" w:hAnsi="Times New Roman" w:cs="Times New Roman"/>
          <w:color w:val="010205"/>
          <w:sz w:val="24"/>
          <w:szCs w:val="24"/>
        </w:rPr>
        <w:t>73.92</w:t>
      </w:r>
      <w:r w:rsidRPr="004928A2">
        <w:rPr>
          <w:rFonts w:ascii="Times New Roman" w:hAnsi="Times New Roman" w:cs="Times New Roman"/>
          <w:sz w:val="24"/>
          <w:szCs w:val="24"/>
        </w:rPr>
        <w:t>, SD =</w:t>
      </w:r>
      <w:r w:rsidRPr="004928A2">
        <w:rPr>
          <w:rFonts w:ascii="Times New Roman" w:hAnsi="Times New Roman" w:cs="Times New Roman"/>
          <w:color w:val="010205"/>
          <w:sz w:val="24"/>
          <w:szCs w:val="24"/>
        </w:rPr>
        <w:t>8.58</w:t>
      </w:r>
      <w:r w:rsidRPr="004928A2">
        <w:rPr>
          <w:rFonts w:ascii="Times New Roman" w:hAnsi="Times New Roman" w:cs="Times New Roman"/>
          <w:sz w:val="24"/>
          <w:szCs w:val="24"/>
        </w:rPr>
        <w:t xml:space="preserve">) were similar before treatment. The means for the </w:t>
      </w:r>
      <w:r>
        <w:rPr>
          <w:rFonts w:ascii="Times New Roman" w:hAnsi="Times New Roman" w:cs="Times New Roman"/>
          <w:sz w:val="24"/>
          <w:szCs w:val="24"/>
        </w:rPr>
        <w:t>comparison group</w:t>
      </w:r>
      <w:r w:rsidRPr="004928A2">
        <w:rPr>
          <w:rFonts w:ascii="Times New Roman" w:hAnsi="Times New Roman" w:cs="Times New Roman"/>
          <w:sz w:val="24"/>
          <w:szCs w:val="24"/>
        </w:rPr>
        <w:t xml:space="preserve"> (M = </w:t>
      </w:r>
      <w:r w:rsidRPr="004928A2">
        <w:rPr>
          <w:rFonts w:ascii="Times New Roman" w:hAnsi="Times New Roman" w:cs="Times New Roman"/>
          <w:color w:val="010205"/>
          <w:sz w:val="24"/>
          <w:szCs w:val="24"/>
        </w:rPr>
        <w:t>74.26</w:t>
      </w:r>
      <w:r w:rsidRPr="004928A2">
        <w:rPr>
          <w:rFonts w:ascii="Times New Roman" w:hAnsi="Times New Roman" w:cs="Times New Roman"/>
          <w:sz w:val="24"/>
          <w:szCs w:val="24"/>
        </w:rPr>
        <w:t>, SD =</w:t>
      </w:r>
      <w:r w:rsidRPr="004928A2">
        <w:rPr>
          <w:rFonts w:ascii="Times New Roman" w:hAnsi="Times New Roman" w:cs="Times New Roman"/>
          <w:color w:val="010205"/>
          <w:sz w:val="24"/>
          <w:szCs w:val="24"/>
        </w:rPr>
        <w:t>8.18</w:t>
      </w:r>
      <w:r w:rsidRPr="004928A2">
        <w:rPr>
          <w:rFonts w:ascii="Times New Roman" w:hAnsi="Times New Roman" w:cs="Times New Roman"/>
          <w:sz w:val="24"/>
          <w:szCs w:val="24"/>
        </w:rPr>
        <w:t xml:space="preserve">) and the </w:t>
      </w:r>
      <w:r w:rsidRPr="00381888">
        <w:rPr>
          <w:rFonts w:ascii="Times New Roman" w:hAnsi="Times New Roman" w:cs="Times New Roman"/>
          <w:sz w:val="24"/>
          <w:szCs w:val="24"/>
        </w:rPr>
        <w:t>treatment group</w:t>
      </w:r>
      <w:r w:rsidRPr="004928A2">
        <w:rPr>
          <w:rFonts w:ascii="Times New Roman" w:hAnsi="Times New Roman" w:cs="Times New Roman"/>
          <w:sz w:val="24"/>
          <w:szCs w:val="24"/>
        </w:rPr>
        <w:t xml:space="preserve"> (M = </w:t>
      </w:r>
      <w:r w:rsidRPr="004928A2">
        <w:rPr>
          <w:rFonts w:ascii="Times New Roman" w:hAnsi="Times New Roman" w:cs="Times New Roman"/>
          <w:color w:val="010205"/>
          <w:sz w:val="24"/>
          <w:szCs w:val="24"/>
        </w:rPr>
        <w:t>82.57</w:t>
      </w:r>
      <w:r w:rsidRPr="004928A2">
        <w:rPr>
          <w:rFonts w:ascii="Times New Roman" w:hAnsi="Times New Roman" w:cs="Times New Roman"/>
          <w:sz w:val="24"/>
          <w:szCs w:val="24"/>
        </w:rPr>
        <w:t>, SD =</w:t>
      </w:r>
      <w:r w:rsidRPr="004928A2">
        <w:rPr>
          <w:rFonts w:ascii="Times New Roman" w:hAnsi="Times New Roman" w:cs="Times New Roman"/>
          <w:color w:val="010205"/>
          <w:sz w:val="24"/>
          <w:szCs w:val="24"/>
        </w:rPr>
        <w:t>7.22</w:t>
      </w:r>
      <w:r w:rsidRPr="004928A2">
        <w:rPr>
          <w:rFonts w:ascii="Times New Roman" w:hAnsi="Times New Roman" w:cs="Times New Roman"/>
          <w:sz w:val="24"/>
          <w:szCs w:val="24"/>
        </w:rPr>
        <w:t xml:space="preserve">) were different after treatment. The post-mean score of the </w:t>
      </w:r>
      <w:r>
        <w:rPr>
          <w:rFonts w:ascii="Times New Roman" w:hAnsi="Times New Roman" w:cs="Times New Roman"/>
          <w:sz w:val="24"/>
          <w:szCs w:val="24"/>
        </w:rPr>
        <w:t>treatment group</w:t>
      </w:r>
      <w:r w:rsidRPr="008C3FB4">
        <w:rPr>
          <w:rFonts w:ascii="Times New Roman" w:hAnsi="Times New Roman" w:cs="Times New Roman"/>
          <w:color w:val="FF0000"/>
          <w:sz w:val="24"/>
          <w:szCs w:val="24"/>
        </w:rPr>
        <w:t xml:space="preserve"> </w:t>
      </w:r>
      <w:r w:rsidRPr="004928A2">
        <w:rPr>
          <w:rFonts w:ascii="Times New Roman" w:hAnsi="Times New Roman" w:cs="Times New Roman"/>
          <w:sz w:val="24"/>
          <w:szCs w:val="24"/>
        </w:rPr>
        <w:t>(M=</w:t>
      </w:r>
      <w:r w:rsidRPr="004928A2">
        <w:rPr>
          <w:rFonts w:ascii="Times New Roman" w:hAnsi="Times New Roman" w:cs="Times New Roman"/>
          <w:color w:val="010205"/>
          <w:sz w:val="24"/>
          <w:szCs w:val="24"/>
        </w:rPr>
        <w:t>82.57</w:t>
      </w:r>
      <w:r w:rsidRPr="004928A2">
        <w:rPr>
          <w:rFonts w:ascii="Times New Roman" w:hAnsi="Times New Roman" w:cs="Times New Roman"/>
          <w:sz w:val="24"/>
          <w:szCs w:val="24"/>
        </w:rPr>
        <w:t xml:space="preserve">) was larger than the post-mean score of the </w:t>
      </w:r>
      <w:r>
        <w:rPr>
          <w:rFonts w:ascii="Times New Roman" w:hAnsi="Times New Roman" w:cs="Times New Roman"/>
          <w:sz w:val="24"/>
          <w:szCs w:val="24"/>
        </w:rPr>
        <w:t>comparison group</w:t>
      </w:r>
      <w:r w:rsidRPr="004928A2">
        <w:rPr>
          <w:rFonts w:ascii="Times New Roman" w:hAnsi="Times New Roman" w:cs="Times New Roman"/>
          <w:sz w:val="24"/>
          <w:szCs w:val="24"/>
        </w:rPr>
        <w:t xml:space="preserve"> (M = </w:t>
      </w:r>
      <w:r w:rsidRPr="004928A2">
        <w:rPr>
          <w:rFonts w:ascii="Times New Roman" w:hAnsi="Times New Roman" w:cs="Times New Roman"/>
          <w:color w:val="010205"/>
          <w:sz w:val="24"/>
          <w:szCs w:val="24"/>
        </w:rPr>
        <w:t>74.26</w:t>
      </w:r>
      <w:r w:rsidRPr="004928A2">
        <w:rPr>
          <w:rFonts w:ascii="Times New Roman" w:hAnsi="Times New Roman" w:cs="Times New Roman"/>
          <w:sz w:val="24"/>
          <w:szCs w:val="24"/>
        </w:rPr>
        <w:t>).</w:t>
      </w:r>
    </w:p>
    <w:p w:rsidR="00542038" w:rsidRPr="00961AB1" w:rsidRDefault="00542038" w:rsidP="00542038">
      <w:pPr>
        <w:spacing w:after="0"/>
        <w:jc w:val="both"/>
        <w:rPr>
          <w:rFonts w:ascii="Times New Roman" w:hAnsi="Times New Roman" w:cs="Times New Roman"/>
          <w:sz w:val="24"/>
          <w:szCs w:val="24"/>
          <w:lang w:val="en-US"/>
        </w:rPr>
      </w:pPr>
      <w:r w:rsidRPr="004928A2">
        <w:rPr>
          <w:rFonts w:ascii="Times New Roman" w:hAnsi="Times New Roman" w:cs="Times New Roman"/>
          <w:sz w:val="24"/>
          <w:szCs w:val="24"/>
        </w:rPr>
        <w:t xml:space="preserve">The Ancova were performed to verify if there were significant differences in the two groups’ pre/post mean scores at the 0.05 significance level. </w:t>
      </w:r>
      <w:r>
        <w:rPr>
          <w:rFonts w:ascii="Times New Roman" w:hAnsi="Times New Roman" w:cs="Times New Roman"/>
          <w:sz w:val="24"/>
          <w:szCs w:val="24"/>
        </w:rPr>
        <w:t>After</w:t>
      </w:r>
      <w:r w:rsidRPr="004928A2">
        <w:rPr>
          <w:rFonts w:ascii="Times New Roman" w:hAnsi="Times New Roman" w:cs="Times New Roman"/>
          <w:sz w:val="24"/>
          <w:szCs w:val="24"/>
        </w:rPr>
        <w:t xml:space="preserve"> Levene’s  test  was calculated  to  test  whether  the  assumption  of  homog</w:t>
      </w:r>
      <w:r>
        <w:rPr>
          <w:rFonts w:ascii="Times New Roman" w:hAnsi="Times New Roman" w:cs="Times New Roman"/>
          <w:sz w:val="24"/>
          <w:szCs w:val="24"/>
        </w:rPr>
        <w:t xml:space="preserve">eneity  of  variances  was  met </w:t>
      </w:r>
      <w:r w:rsidRPr="004928A2">
        <w:rPr>
          <w:rFonts w:ascii="Times New Roman" w:hAnsi="Times New Roman" w:cs="Times New Roman"/>
          <w:sz w:val="24"/>
          <w:szCs w:val="24"/>
        </w:rPr>
        <w:t xml:space="preserve">Ancova was run to identify if a significant difference existed in the two groups' post mean scores. The results of </w:t>
      </w:r>
      <w:r>
        <w:rPr>
          <w:rFonts w:ascii="Times New Roman" w:hAnsi="Times New Roman" w:cs="Times New Roman"/>
          <w:sz w:val="24"/>
          <w:szCs w:val="24"/>
        </w:rPr>
        <w:t xml:space="preserve">ANCOVA </w:t>
      </w:r>
      <w:r w:rsidRPr="004928A2">
        <w:rPr>
          <w:rFonts w:ascii="Times New Roman" w:hAnsi="Times New Roman" w:cs="Times New Roman"/>
          <w:sz w:val="24"/>
          <w:szCs w:val="24"/>
        </w:rPr>
        <w:t xml:space="preserve">test </w:t>
      </w:r>
      <w:r>
        <w:rPr>
          <w:rFonts w:ascii="Times New Roman" w:hAnsi="Times New Roman" w:cs="Times New Roman"/>
          <w:sz w:val="24"/>
          <w:szCs w:val="24"/>
        </w:rPr>
        <w:t>is shown in Table 4.2</w:t>
      </w:r>
      <w:r w:rsidRPr="004928A2">
        <w:rPr>
          <w:rFonts w:ascii="Times New Roman" w:hAnsi="Times New Roman" w:cs="Times New Roman"/>
          <w:sz w:val="24"/>
          <w:szCs w:val="24"/>
        </w:rPr>
        <w:t>.</w:t>
      </w:r>
    </w:p>
    <w:p w:rsidR="00542038" w:rsidRPr="000A16EE" w:rsidRDefault="00542038" w:rsidP="00542038">
      <w:pPr>
        <w:pStyle w:val="Caption"/>
        <w:keepNext/>
        <w:spacing w:after="0" w:line="276" w:lineRule="auto"/>
        <w:jc w:val="both"/>
        <w:rPr>
          <w:rFonts w:ascii="Times New Roman" w:hAnsi="Times New Roman" w:cs="Times New Roman"/>
          <w:color w:val="auto"/>
          <w:sz w:val="24"/>
          <w:szCs w:val="24"/>
        </w:rPr>
      </w:pPr>
      <w:r w:rsidRPr="000A16EE">
        <w:rPr>
          <w:rFonts w:ascii="Times New Roman" w:hAnsi="Times New Roman" w:cs="Times New Roman"/>
          <w:color w:val="auto"/>
          <w:sz w:val="24"/>
          <w:szCs w:val="24"/>
        </w:rPr>
        <w:t>Table 4.2 Ancova test for comparing both Groups' Post Mean Scores</w:t>
      </w:r>
    </w:p>
    <w:tbl>
      <w:tblPr>
        <w:tblStyle w:val="TableGrid"/>
        <w:tblW w:w="9086" w:type="dxa"/>
        <w:tblLayout w:type="fixed"/>
        <w:tblLook w:val="0000"/>
      </w:tblPr>
      <w:tblGrid>
        <w:gridCol w:w="1668"/>
        <w:gridCol w:w="1469"/>
        <w:gridCol w:w="1024"/>
        <w:gridCol w:w="1408"/>
        <w:gridCol w:w="1024"/>
        <w:gridCol w:w="1024"/>
        <w:gridCol w:w="1469"/>
      </w:tblGrid>
      <w:tr w:rsidR="00542038" w:rsidRPr="004928A2" w:rsidTr="00D6283D">
        <w:tc>
          <w:tcPr>
            <w:tcW w:w="9086" w:type="dxa"/>
            <w:gridSpan w:val="7"/>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b/>
                <w:bCs/>
                <w:color w:val="010205"/>
                <w:sz w:val="24"/>
                <w:szCs w:val="24"/>
              </w:rPr>
              <w:t>Tests of Between-Subjects Effects</w:t>
            </w:r>
          </w:p>
        </w:tc>
      </w:tr>
      <w:tr w:rsidR="00542038" w:rsidRPr="004928A2" w:rsidTr="00D6283D">
        <w:tc>
          <w:tcPr>
            <w:tcW w:w="9086" w:type="dxa"/>
            <w:gridSpan w:val="7"/>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r w:rsidRPr="004928A2">
              <w:rPr>
                <w:rFonts w:ascii="Times New Roman" w:hAnsi="Times New Roman" w:cs="Times New Roman"/>
                <w:color w:val="010205"/>
                <w:sz w:val="24"/>
                <w:szCs w:val="24"/>
                <w:shd w:val="clear" w:color="auto" w:fill="FFFFFF"/>
              </w:rPr>
              <w:t>Dependent Variable:   posttest</w:t>
            </w: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Source</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Type III Sum of Squares</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Df</w:t>
            </w:r>
          </w:p>
        </w:tc>
        <w:tc>
          <w:tcPr>
            <w:tcW w:w="140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Mean Square</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F</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Sig.</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Partial Eta Squared</w:t>
            </w: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lastRenderedPageBreak/>
              <w:t>Corrected Model</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2556.504</w:t>
            </w:r>
            <w:r w:rsidRPr="004928A2">
              <w:rPr>
                <w:rFonts w:ascii="Times New Roman" w:hAnsi="Times New Roman" w:cs="Times New Roman"/>
                <w:color w:val="010205"/>
                <w:sz w:val="24"/>
                <w:szCs w:val="24"/>
                <w:vertAlign w:val="superscript"/>
              </w:rPr>
              <w:t>a</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w:t>
            </w:r>
          </w:p>
        </w:tc>
        <w:tc>
          <w:tcPr>
            <w:tcW w:w="140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1278.252</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27.392</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.000</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.403</w:t>
            </w: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Intercept</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2029.478</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w:t>
            </w:r>
          </w:p>
        </w:tc>
        <w:tc>
          <w:tcPr>
            <w:tcW w:w="140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2029.478</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43.490</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.000</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.349</w:t>
            </w: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Pretest</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1106.492</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w:t>
            </w:r>
          </w:p>
        </w:tc>
        <w:tc>
          <w:tcPr>
            <w:tcW w:w="140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1106.492</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23.711</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.000</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.226</w:t>
            </w: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Group</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1535.020</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w:t>
            </w:r>
          </w:p>
        </w:tc>
        <w:tc>
          <w:tcPr>
            <w:tcW w:w="140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1535.020</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32.894</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.000</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.289</w:t>
            </w: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Error</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3779.913</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81</w:t>
            </w:r>
          </w:p>
        </w:tc>
        <w:tc>
          <w:tcPr>
            <w:tcW w:w="140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46.666</w:t>
            </w:r>
          </w:p>
        </w:tc>
        <w:tc>
          <w:tcPr>
            <w:tcW w:w="1024"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024"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469"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Total</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522867.000</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84</w:t>
            </w:r>
          </w:p>
        </w:tc>
        <w:tc>
          <w:tcPr>
            <w:tcW w:w="1408"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024"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024"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469"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r>
      <w:tr w:rsidR="00542038" w:rsidRPr="004928A2" w:rsidTr="00D6283D">
        <w:tc>
          <w:tcPr>
            <w:tcW w:w="1668"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264A60"/>
                <w:sz w:val="24"/>
                <w:szCs w:val="24"/>
              </w:rPr>
            </w:pPr>
            <w:r w:rsidRPr="004928A2">
              <w:rPr>
                <w:rFonts w:ascii="Times New Roman" w:hAnsi="Times New Roman" w:cs="Times New Roman"/>
                <w:color w:val="264A60"/>
                <w:sz w:val="24"/>
                <w:szCs w:val="24"/>
              </w:rPr>
              <w:t>Corrected Total</w:t>
            </w:r>
          </w:p>
        </w:tc>
        <w:tc>
          <w:tcPr>
            <w:tcW w:w="1469"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6336.417</w:t>
            </w:r>
          </w:p>
        </w:tc>
        <w:tc>
          <w:tcPr>
            <w:tcW w:w="1024" w:type="dxa"/>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83</w:t>
            </w:r>
          </w:p>
        </w:tc>
        <w:tc>
          <w:tcPr>
            <w:tcW w:w="1408"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024"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024"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c>
          <w:tcPr>
            <w:tcW w:w="1469" w:type="dxa"/>
          </w:tcPr>
          <w:p w:rsidR="00542038" w:rsidRPr="004928A2" w:rsidRDefault="00542038" w:rsidP="00D6283D">
            <w:pPr>
              <w:autoSpaceDE w:val="0"/>
              <w:autoSpaceDN w:val="0"/>
              <w:adjustRightInd w:val="0"/>
              <w:spacing w:line="276" w:lineRule="auto"/>
              <w:jc w:val="both"/>
              <w:rPr>
                <w:rFonts w:ascii="Times New Roman" w:hAnsi="Times New Roman" w:cs="Times New Roman"/>
                <w:sz w:val="24"/>
                <w:szCs w:val="24"/>
              </w:rPr>
            </w:pPr>
          </w:p>
        </w:tc>
      </w:tr>
      <w:tr w:rsidR="00542038" w:rsidRPr="004928A2" w:rsidTr="00D6283D">
        <w:tc>
          <w:tcPr>
            <w:tcW w:w="9086" w:type="dxa"/>
            <w:gridSpan w:val="7"/>
          </w:tcPr>
          <w:p w:rsidR="00542038" w:rsidRPr="004928A2" w:rsidRDefault="00542038" w:rsidP="00D6283D">
            <w:pPr>
              <w:autoSpaceDE w:val="0"/>
              <w:autoSpaceDN w:val="0"/>
              <w:adjustRightInd w:val="0"/>
              <w:spacing w:line="276" w:lineRule="auto"/>
              <w:ind w:left="60" w:right="60"/>
              <w:jc w:val="both"/>
              <w:rPr>
                <w:rFonts w:ascii="Times New Roman" w:hAnsi="Times New Roman" w:cs="Times New Roman"/>
                <w:color w:val="010205"/>
                <w:sz w:val="24"/>
                <w:szCs w:val="24"/>
              </w:rPr>
            </w:pPr>
            <w:r w:rsidRPr="004928A2">
              <w:rPr>
                <w:rFonts w:ascii="Times New Roman" w:hAnsi="Times New Roman" w:cs="Times New Roman"/>
                <w:color w:val="010205"/>
                <w:sz w:val="24"/>
                <w:szCs w:val="24"/>
              </w:rPr>
              <w:t>a. R Squared = .403 (Adjusted R Squared = .389)</w:t>
            </w:r>
          </w:p>
        </w:tc>
      </w:tr>
    </w:tbl>
    <w:p w:rsidR="00542038" w:rsidRPr="004928A2" w:rsidRDefault="00542038" w:rsidP="00542038">
      <w:pPr>
        <w:autoSpaceDE w:val="0"/>
        <w:autoSpaceDN w:val="0"/>
        <w:adjustRightInd w:val="0"/>
        <w:spacing w:after="0"/>
        <w:jc w:val="both"/>
        <w:rPr>
          <w:rFonts w:ascii="Times New Roman" w:hAnsi="Times New Roman" w:cs="Times New Roman"/>
          <w:sz w:val="24"/>
          <w:szCs w:val="24"/>
        </w:rPr>
      </w:pPr>
    </w:p>
    <w:p w:rsidR="00542038" w:rsidRPr="004928A2" w:rsidRDefault="00542038" w:rsidP="00542038">
      <w:pPr>
        <w:spacing w:after="0"/>
        <w:jc w:val="both"/>
        <w:rPr>
          <w:rFonts w:ascii="Times New Roman" w:hAnsi="Times New Roman" w:cs="Times New Roman"/>
          <w:sz w:val="24"/>
          <w:szCs w:val="24"/>
        </w:rPr>
      </w:pPr>
      <w:r>
        <w:rPr>
          <w:rFonts w:ascii="Times New Roman" w:hAnsi="Times New Roman" w:cs="Times New Roman"/>
          <w:sz w:val="24"/>
          <w:szCs w:val="24"/>
        </w:rPr>
        <w:t>Table 4.2</w:t>
      </w:r>
      <w:r w:rsidRPr="004928A2">
        <w:rPr>
          <w:rFonts w:ascii="Times New Roman" w:hAnsi="Times New Roman" w:cs="Times New Roman"/>
          <w:sz w:val="24"/>
          <w:szCs w:val="24"/>
        </w:rPr>
        <w:t xml:space="preserve"> shows that the Ancova value obtained from the scores of the two groups was sig value</w:t>
      </w:r>
      <w:r w:rsidRPr="004928A2">
        <w:rPr>
          <w:rFonts w:ascii="Times New Roman" w:hAnsi="Times New Roman" w:cs="Times New Roman"/>
          <w:color w:val="FF0000"/>
          <w:sz w:val="24"/>
          <w:szCs w:val="24"/>
        </w:rPr>
        <w:t xml:space="preserve"> </w:t>
      </w:r>
      <w:r w:rsidRPr="004928A2">
        <w:rPr>
          <w:rFonts w:ascii="Times New Roman" w:hAnsi="Times New Roman" w:cs="Times New Roman"/>
          <w:sz w:val="24"/>
          <w:szCs w:val="24"/>
        </w:rPr>
        <w:t>0.000, p ˂ .05), indicating the existence of significant difference between the two groups. The table also shows that effect size (eta squared) was</w:t>
      </w:r>
      <w:r w:rsidRPr="004928A2">
        <w:rPr>
          <w:rFonts w:ascii="Times New Roman" w:hAnsi="Times New Roman" w:cs="Times New Roman"/>
          <w:color w:val="010205"/>
          <w:sz w:val="24"/>
          <w:szCs w:val="24"/>
        </w:rPr>
        <w:t xml:space="preserve"> .289</w:t>
      </w:r>
      <w:r w:rsidRPr="004928A2">
        <w:rPr>
          <w:rFonts w:ascii="Times New Roman" w:hAnsi="Times New Roman" w:cs="Times New Roman"/>
          <w:sz w:val="24"/>
          <w:szCs w:val="24"/>
        </w:rPr>
        <w:t>, indicated there is an effect. The results can suggest that the TBLI helped EG develop their speaking perceptions.</w:t>
      </w:r>
    </w:p>
    <w:p w:rsidR="00542038" w:rsidRPr="004928A2" w:rsidRDefault="00542038" w:rsidP="00542038">
      <w:pPr>
        <w:spacing w:after="0"/>
        <w:jc w:val="both"/>
        <w:rPr>
          <w:rFonts w:ascii="Times New Roman" w:hAnsi="Times New Roman" w:cs="Times New Roman"/>
          <w:sz w:val="24"/>
          <w:szCs w:val="24"/>
        </w:rPr>
      </w:pPr>
      <w:r w:rsidRPr="004928A2">
        <w:rPr>
          <w:rFonts w:ascii="Times New Roman" w:hAnsi="Times New Roman" w:cs="Times New Roman"/>
          <w:sz w:val="24"/>
          <w:szCs w:val="24"/>
        </w:rPr>
        <w:t>In summary, the Ancova analysis indicated that the EG did make significant progress in speaking self efficacy. But the</w:t>
      </w:r>
      <w:r w:rsidRPr="008C3FB4">
        <w:rPr>
          <w:rFonts w:ascii="Times New Roman" w:hAnsi="Times New Roman" w:cs="Times New Roman"/>
          <w:color w:val="FF0000"/>
          <w:sz w:val="24"/>
          <w:szCs w:val="24"/>
        </w:rPr>
        <w:t xml:space="preserve"> </w:t>
      </w:r>
      <w:r w:rsidRPr="00575770">
        <w:rPr>
          <w:rFonts w:ascii="Times New Roman" w:hAnsi="Times New Roman" w:cs="Times New Roman"/>
          <w:sz w:val="24"/>
          <w:szCs w:val="24"/>
        </w:rPr>
        <w:t>comparison group</w:t>
      </w:r>
      <w:r w:rsidRPr="004928A2">
        <w:rPr>
          <w:rFonts w:ascii="Times New Roman" w:hAnsi="Times New Roman" w:cs="Times New Roman"/>
          <w:sz w:val="24"/>
          <w:szCs w:val="24"/>
        </w:rPr>
        <w:t xml:space="preserve"> showed insignificant progress in speaking self efficacy beliefs. Hence, the null hypothesis was rejected and the alternative one was supported.</w:t>
      </w:r>
    </w:p>
    <w:p w:rsidR="00542038" w:rsidRPr="002A013F" w:rsidRDefault="00542038" w:rsidP="00542038">
      <w:pPr>
        <w:spacing w:after="0"/>
        <w:jc w:val="both"/>
        <w:rPr>
          <w:rFonts w:ascii="Times New Roman" w:hAnsi="Times New Roman" w:cs="Times New Roman"/>
          <w:b/>
          <w:sz w:val="24"/>
          <w:szCs w:val="24"/>
        </w:rPr>
      </w:pPr>
      <w:r w:rsidRPr="002A013F">
        <w:rPr>
          <w:rFonts w:ascii="Times New Roman" w:hAnsi="Times New Roman" w:cs="Times New Roman"/>
          <w:b/>
          <w:sz w:val="24"/>
          <w:szCs w:val="24"/>
        </w:rPr>
        <w:t>Results of the second research question</w:t>
      </w:r>
    </w:p>
    <w:p w:rsidR="00542038" w:rsidRPr="004928A2" w:rsidRDefault="00542038" w:rsidP="00542038">
      <w:pPr>
        <w:spacing w:after="0"/>
        <w:jc w:val="both"/>
        <w:rPr>
          <w:rFonts w:ascii="Times New Roman" w:hAnsi="Times New Roman" w:cs="Times New Roman"/>
          <w:color w:val="FF0000"/>
          <w:sz w:val="24"/>
          <w:szCs w:val="24"/>
        </w:rPr>
      </w:pPr>
      <w:r>
        <w:rPr>
          <w:rFonts w:ascii="Times New Roman" w:hAnsi="Times New Roman" w:cs="Times New Roman"/>
          <w:sz w:val="24"/>
          <w:szCs w:val="24"/>
        </w:rPr>
        <w:t>The students’ interview is interpreted as follows.</w:t>
      </w:r>
    </w:p>
    <w:p w:rsidR="00542038" w:rsidRPr="004928A2" w:rsidRDefault="00542038" w:rsidP="00542038">
      <w:pPr>
        <w:spacing w:after="0"/>
        <w:jc w:val="both"/>
        <w:rPr>
          <w:rFonts w:ascii="Times New Roman" w:hAnsi="Times New Roman" w:cs="Times New Roman"/>
          <w:sz w:val="24"/>
          <w:szCs w:val="24"/>
        </w:rPr>
      </w:pPr>
      <w:r>
        <w:rPr>
          <w:rFonts w:ascii="Times New Roman" w:hAnsi="Times New Roman" w:cs="Times New Roman"/>
          <w:sz w:val="24"/>
          <w:szCs w:val="24"/>
        </w:rPr>
        <w:t>Interviewee “A” replies s</w:t>
      </w:r>
      <w:r w:rsidRPr="004928A2">
        <w:rPr>
          <w:rFonts w:ascii="Times New Roman" w:hAnsi="Times New Roman" w:cs="Times New Roman"/>
          <w:sz w:val="24"/>
          <w:szCs w:val="24"/>
        </w:rPr>
        <w:t xml:space="preserve">ince the tasks are done based on real-world events and situations, </w:t>
      </w:r>
      <w:r>
        <w:rPr>
          <w:rFonts w:ascii="Times New Roman" w:hAnsi="Times New Roman" w:cs="Times New Roman"/>
          <w:sz w:val="24"/>
          <w:szCs w:val="24"/>
        </w:rPr>
        <w:t xml:space="preserve">he is </w:t>
      </w:r>
      <w:r w:rsidRPr="004928A2">
        <w:rPr>
          <w:rFonts w:ascii="Times New Roman" w:hAnsi="Times New Roman" w:cs="Times New Roman"/>
          <w:sz w:val="24"/>
          <w:szCs w:val="24"/>
        </w:rPr>
        <w:t xml:space="preserve">sure that if </w:t>
      </w:r>
      <w:r>
        <w:rPr>
          <w:rFonts w:ascii="Times New Roman" w:hAnsi="Times New Roman" w:cs="Times New Roman"/>
          <w:sz w:val="24"/>
          <w:szCs w:val="24"/>
        </w:rPr>
        <w:t>he</w:t>
      </w:r>
      <w:r w:rsidRPr="004928A2">
        <w:rPr>
          <w:rFonts w:ascii="Times New Roman" w:hAnsi="Times New Roman" w:cs="Times New Roman"/>
          <w:sz w:val="24"/>
          <w:szCs w:val="24"/>
        </w:rPr>
        <w:t xml:space="preserve"> practice</w:t>
      </w:r>
      <w:r>
        <w:rPr>
          <w:rFonts w:ascii="Times New Roman" w:hAnsi="Times New Roman" w:cs="Times New Roman"/>
          <w:sz w:val="24"/>
          <w:szCs w:val="24"/>
        </w:rPr>
        <w:t>s</w:t>
      </w:r>
      <w:r w:rsidRPr="004928A2">
        <w:rPr>
          <w:rFonts w:ascii="Times New Roman" w:hAnsi="Times New Roman" w:cs="Times New Roman"/>
          <w:sz w:val="24"/>
          <w:szCs w:val="24"/>
        </w:rPr>
        <w:t xml:space="preserve"> </w:t>
      </w:r>
      <w:r>
        <w:rPr>
          <w:rFonts w:ascii="Times New Roman" w:hAnsi="Times New Roman" w:cs="Times New Roman"/>
          <w:sz w:val="24"/>
          <w:szCs w:val="24"/>
        </w:rPr>
        <w:t>speaking more, he</w:t>
      </w:r>
      <w:r w:rsidRPr="004928A2">
        <w:rPr>
          <w:rFonts w:ascii="Times New Roman" w:hAnsi="Times New Roman" w:cs="Times New Roman"/>
          <w:sz w:val="24"/>
          <w:szCs w:val="24"/>
        </w:rPr>
        <w:t xml:space="preserve"> will be able to speak with native speakers without any stress and difficulty</w:t>
      </w:r>
      <w:r>
        <w:rPr>
          <w:rFonts w:ascii="Times New Roman" w:hAnsi="Times New Roman" w:cs="Times New Roman"/>
          <w:sz w:val="24"/>
          <w:szCs w:val="24"/>
        </w:rPr>
        <w:t>. Therefore it can help him to decrease stress during practicing English in the classroom by increasing his mastery experiences. Besides</w:t>
      </w:r>
      <w:r w:rsidRPr="004928A2">
        <w:rPr>
          <w:rFonts w:ascii="Times New Roman" w:hAnsi="Times New Roman" w:cs="Times New Roman"/>
          <w:sz w:val="24"/>
          <w:szCs w:val="24"/>
        </w:rPr>
        <w:t xml:space="preserve"> TBLI showed </w:t>
      </w:r>
      <w:r>
        <w:rPr>
          <w:rFonts w:ascii="Times New Roman" w:hAnsi="Times New Roman" w:cs="Times New Roman"/>
          <w:sz w:val="24"/>
          <w:szCs w:val="24"/>
        </w:rPr>
        <w:t>him</w:t>
      </w:r>
      <w:r w:rsidRPr="004928A2">
        <w:rPr>
          <w:rFonts w:ascii="Times New Roman" w:hAnsi="Times New Roman" w:cs="Times New Roman"/>
          <w:sz w:val="24"/>
          <w:szCs w:val="24"/>
        </w:rPr>
        <w:t xml:space="preserve"> strategies like asking for clarification, predicting the topic, etc., that could compensate for the lack of knowledge that happens</w:t>
      </w:r>
      <w:r>
        <w:rPr>
          <w:rFonts w:ascii="Times New Roman" w:hAnsi="Times New Roman" w:cs="Times New Roman"/>
          <w:sz w:val="24"/>
          <w:szCs w:val="24"/>
        </w:rPr>
        <w:t xml:space="preserve"> for all EFL students at times.</w:t>
      </w:r>
    </w:p>
    <w:p w:rsidR="00542038" w:rsidRPr="004928A2" w:rsidRDefault="00542038" w:rsidP="00542038">
      <w:pPr>
        <w:spacing w:after="0"/>
        <w:jc w:val="both"/>
        <w:rPr>
          <w:rFonts w:ascii="Times New Roman" w:hAnsi="Times New Roman" w:cs="Times New Roman"/>
          <w:sz w:val="24"/>
          <w:szCs w:val="24"/>
        </w:rPr>
      </w:pPr>
      <w:r>
        <w:rPr>
          <w:rFonts w:ascii="Times New Roman" w:hAnsi="Times New Roman" w:cs="Times New Roman"/>
          <w:sz w:val="24"/>
          <w:szCs w:val="24"/>
        </w:rPr>
        <w:t>Interviewee “C” claimed that</w:t>
      </w:r>
      <w:r w:rsidRPr="004928A2">
        <w:rPr>
          <w:rFonts w:ascii="Times New Roman" w:hAnsi="Times New Roman" w:cs="Times New Roman"/>
          <w:sz w:val="24"/>
          <w:szCs w:val="24"/>
        </w:rPr>
        <w:t xml:space="preserve"> </w:t>
      </w:r>
      <w:r>
        <w:rPr>
          <w:rFonts w:ascii="Times New Roman" w:hAnsi="Times New Roman" w:cs="Times New Roman"/>
          <w:sz w:val="24"/>
          <w:szCs w:val="24"/>
        </w:rPr>
        <w:t>she is</w:t>
      </w:r>
      <w:r w:rsidRPr="004928A2">
        <w:rPr>
          <w:rFonts w:ascii="Times New Roman" w:hAnsi="Times New Roman" w:cs="Times New Roman"/>
          <w:sz w:val="24"/>
          <w:szCs w:val="24"/>
        </w:rPr>
        <w:t xml:space="preserve"> sure </w:t>
      </w:r>
      <w:r>
        <w:rPr>
          <w:rFonts w:ascii="Times New Roman" w:hAnsi="Times New Roman" w:cs="Times New Roman"/>
          <w:sz w:val="24"/>
          <w:szCs w:val="24"/>
        </w:rPr>
        <w:t>she</w:t>
      </w:r>
      <w:r w:rsidRPr="004928A2">
        <w:rPr>
          <w:rFonts w:ascii="Times New Roman" w:hAnsi="Times New Roman" w:cs="Times New Roman"/>
          <w:sz w:val="24"/>
          <w:szCs w:val="24"/>
        </w:rPr>
        <w:t xml:space="preserve"> </w:t>
      </w:r>
      <w:r>
        <w:rPr>
          <w:rFonts w:ascii="Times New Roman" w:hAnsi="Times New Roman" w:cs="Times New Roman"/>
          <w:sz w:val="24"/>
          <w:szCs w:val="24"/>
        </w:rPr>
        <w:t>is</w:t>
      </w:r>
      <w:r w:rsidRPr="004928A2">
        <w:rPr>
          <w:rFonts w:ascii="Times New Roman" w:hAnsi="Times New Roman" w:cs="Times New Roman"/>
          <w:sz w:val="24"/>
          <w:szCs w:val="24"/>
        </w:rPr>
        <w:t xml:space="preserve"> one of the best English speakers in </w:t>
      </w:r>
      <w:r>
        <w:rPr>
          <w:rFonts w:ascii="Times New Roman" w:hAnsi="Times New Roman" w:cs="Times New Roman"/>
          <w:sz w:val="24"/>
          <w:szCs w:val="24"/>
        </w:rPr>
        <w:t>her</w:t>
      </w:r>
      <w:r w:rsidRPr="004928A2">
        <w:rPr>
          <w:rFonts w:ascii="Times New Roman" w:hAnsi="Times New Roman" w:cs="Times New Roman"/>
          <w:sz w:val="24"/>
          <w:szCs w:val="24"/>
        </w:rPr>
        <w:t xml:space="preserve"> class. </w:t>
      </w:r>
      <w:r>
        <w:rPr>
          <w:rFonts w:ascii="Times New Roman" w:hAnsi="Times New Roman" w:cs="Times New Roman"/>
          <w:sz w:val="24"/>
          <w:szCs w:val="24"/>
        </w:rPr>
        <w:t>She</w:t>
      </w:r>
      <w:r w:rsidRPr="004928A2">
        <w:rPr>
          <w:rFonts w:ascii="Times New Roman" w:hAnsi="Times New Roman" w:cs="Times New Roman"/>
          <w:sz w:val="24"/>
          <w:szCs w:val="24"/>
        </w:rPr>
        <w:t xml:space="preserve"> realize</w:t>
      </w:r>
      <w:r>
        <w:rPr>
          <w:rFonts w:ascii="Times New Roman" w:hAnsi="Times New Roman" w:cs="Times New Roman"/>
          <w:sz w:val="24"/>
          <w:szCs w:val="24"/>
        </w:rPr>
        <w:t>d</w:t>
      </w:r>
      <w:r w:rsidRPr="004928A2">
        <w:rPr>
          <w:rFonts w:ascii="Times New Roman" w:hAnsi="Times New Roman" w:cs="Times New Roman"/>
          <w:sz w:val="24"/>
          <w:szCs w:val="24"/>
        </w:rPr>
        <w:t xml:space="preserve"> that, compared with the rest of</w:t>
      </w:r>
      <w:r>
        <w:rPr>
          <w:rFonts w:ascii="Times New Roman" w:hAnsi="Times New Roman" w:cs="Times New Roman"/>
          <w:sz w:val="24"/>
          <w:szCs w:val="24"/>
        </w:rPr>
        <w:t xml:space="preserve"> her</w:t>
      </w:r>
      <w:r w:rsidRPr="004928A2">
        <w:rPr>
          <w:rFonts w:ascii="Times New Roman" w:hAnsi="Times New Roman" w:cs="Times New Roman"/>
          <w:sz w:val="24"/>
          <w:szCs w:val="24"/>
        </w:rPr>
        <w:t xml:space="preserve"> class-mates, </w:t>
      </w:r>
      <w:r>
        <w:rPr>
          <w:rFonts w:ascii="Times New Roman" w:hAnsi="Times New Roman" w:cs="Times New Roman"/>
          <w:sz w:val="24"/>
          <w:szCs w:val="24"/>
        </w:rPr>
        <w:t>she</w:t>
      </w:r>
      <w:r w:rsidRPr="004928A2">
        <w:rPr>
          <w:rFonts w:ascii="Times New Roman" w:hAnsi="Times New Roman" w:cs="Times New Roman"/>
          <w:sz w:val="24"/>
          <w:szCs w:val="24"/>
        </w:rPr>
        <w:t xml:space="preserve"> cooperate in speaking sessions more actively. Generally speaking, </w:t>
      </w:r>
      <w:r>
        <w:rPr>
          <w:rFonts w:ascii="Times New Roman" w:hAnsi="Times New Roman" w:cs="Times New Roman"/>
          <w:sz w:val="24"/>
          <w:szCs w:val="24"/>
        </w:rPr>
        <w:t>she</w:t>
      </w:r>
      <w:r w:rsidRPr="004928A2">
        <w:rPr>
          <w:rFonts w:ascii="Times New Roman" w:hAnsi="Times New Roman" w:cs="Times New Roman"/>
          <w:sz w:val="24"/>
          <w:szCs w:val="24"/>
        </w:rPr>
        <w:t xml:space="preserve"> thinks if </w:t>
      </w:r>
      <w:r>
        <w:rPr>
          <w:rFonts w:ascii="Times New Roman" w:hAnsi="Times New Roman" w:cs="Times New Roman"/>
          <w:sz w:val="24"/>
          <w:szCs w:val="24"/>
        </w:rPr>
        <w:t>she</w:t>
      </w:r>
      <w:r w:rsidRPr="004928A2">
        <w:rPr>
          <w:rFonts w:ascii="Times New Roman" w:hAnsi="Times New Roman" w:cs="Times New Roman"/>
          <w:sz w:val="24"/>
          <w:szCs w:val="24"/>
        </w:rPr>
        <w:t xml:space="preserve"> do</w:t>
      </w:r>
      <w:r>
        <w:rPr>
          <w:rFonts w:ascii="Times New Roman" w:hAnsi="Times New Roman" w:cs="Times New Roman"/>
          <w:sz w:val="24"/>
          <w:szCs w:val="24"/>
        </w:rPr>
        <w:t>es</w:t>
      </w:r>
      <w:r w:rsidRPr="004928A2">
        <w:rPr>
          <w:rFonts w:ascii="Times New Roman" w:hAnsi="Times New Roman" w:cs="Times New Roman"/>
          <w:sz w:val="24"/>
          <w:szCs w:val="24"/>
        </w:rPr>
        <w:t xml:space="preserve"> </w:t>
      </w:r>
      <w:r>
        <w:rPr>
          <w:rFonts w:ascii="Times New Roman" w:hAnsi="Times New Roman" w:cs="Times New Roman"/>
          <w:sz w:val="24"/>
          <w:szCs w:val="24"/>
        </w:rPr>
        <w:t>her</w:t>
      </w:r>
      <w:r w:rsidRPr="004928A2">
        <w:rPr>
          <w:rFonts w:ascii="Times New Roman" w:hAnsi="Times New Roman" w:cs="Times New Roman"/>
          <w:sz w:val="24"/>
          <w:szCs w:val="24"/>
        </w:rPr>
        <w:t xml:space="preserve"> best in English, </w:t>
      </w:r>
      <w:r>
        <w:rPr>
          <w:rFonts w:ascii="Times New Roman" w:hAnsi="Times New Roman" w:cs="Times New Roman"/>
          <w:sz w:val="24"/>
          <w:szCs w:val="24"/>
        </w:rPr>
        <w:t>she</w:t>
      </w:r>
      <w:r w:rsidRPr="004928A2">
        <w:rPr>
          <w:rFonts w:ascii="Times New Roman" w:hAnsi="Times New Roman" w:cs="Times New Roman"/>
          <w:sz w:val="24"/>
          <w:szCs w:val="24"/>
        </w:rPr>
        <w:t xml:space="preserve"> can achieve native-like fluency in the near future with TBLI </w:t>
      </w:r>
      <w:r>
        <w:rPr>
          <w:rFonts w:ascii="Times New Roman" w:hAnsi="Times New Roman" w:cs="Times New Roman"/>
          <w:sz w:val="24"/>
          <w:szCs w:val="24"/>
        </w:rPr>
        <w:t>techniques in speaking skills.</w:t>
      </w:r>
    </w:p>
    <w:p w:rsidR="00542038" w:rsidRPr="004928A2" w:rsidRDefault="00542038" w:rsidP="00542038">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 </w:t>
      </w:r>
      <w:r>
        <w:rPr>
          <w:rFonts w:ascii="Times New Roman" w:hAnsi="Times New Roman" w:cs="Times New Roman"/>
          <w:sz w:val="24"/>
          <w:szCs w:val="24"/>
        </w:rPr>
        <w:t>Interviewee “E</w:t>
      </w:r>
      <w:r w:rsidRPr="004928A2">
        <w:rPr>
          <w:rFonts w:ascii="Times New Roman" w:hAnsi="Times New Roman" w:cs="Times New Roman"/>
          <w:sz w:val="24"/>
          <w:szCs w:val="24"/>
        </w:rPr>
        <w:t>“</w:t>
      </w:r>
      <w:r>
        <w:rPr>
          <w:rFonts w:ascii="Times New Roman" w:hAnsi="Times New Roman" w:cs="Times New Roman"/>
          <w:sz w:val="24"/>
          <w:szCs w:val="24"/>
        </w:rPr>
        <w:t xml:space="preserve"> says that the </w:t>
      </w:r>
      <w:r w:rsidRPr="004928A2">
        <w:rPr>
          <w:rFonts w:ascii="Times New Roman" w:hAnsi="Times New Roman" w:cs="Times New Roman"/>
          <w:sz w:val="24"/>
          <w:szCs w:val="24"/>
        </w:rPr>
        <w:t>TBLI</w:t>
      </w:r>
      <w:r>
        <w:rPr>
          <w:rFonts w:ascii="Times New Roman" w:hAnsi="Times New Roman" w:cs="Times New Roman"/>
          <w:sz w:val="24"/>
          <w:szCs w:val="24"/>
        </w:rPr>
        <w:t xml:space="preserve"> program in their </w:t>
      </w:r>
      <w:r w:rsidRPr="004928A2">
        <w:rPr>
          <w:rFonts w:ascii="Times New Roman" w:hAnsi="Times New Roman" w:cs="Times New Roman"/>
          <w:sz w:val="24"/>
          <w:szCs w:val="24"/>
        </w:rPr>
        <w:t>previous</w:t>
      </w:r>
      <w:r>
        <w:rPr>
          <w:rFonts w:ascii="Times New Roman" w:hAnsi="Times New Roman" w:cs="Times New Roman"/>
          <w:sz w:val="24"/>
          <w:szCs w:val="24"/>
        </w:rPr>
        <w:t xml:space="preserve"> </w:t>
      </w:r>
      <w:r w:rsidRPr="004928A2">
        <w:rPr>
          <w:rFonts w:ascii="Times New Roman" w:hAnsi="Times New Roman" w:cs="Times New Roman"/>
          <w:sz w:val="24"/>
          <w:szCs w:val="24"/>
        </w:rPr>
        <w:t>speaking classes</w:t>
      </w:r>
      <w:r>
        <w:rPr>
          <w:rFonts w:ascii="Times New Roman" w:hAnsi="Times New Roman" w:cs="Times New Roman"/>
          <w:sz w:val="24"/>
          <w:szCs w:val="24"/>
        </w:rPr>
        <w:t>,</w:t>
      </w:r>
      <w:r w:rsidRPr="004928A2">
        <w:rPr>
          <w:rFonts w:ascii="Times New Roman" w:hAnsi="Times New Roman" w:cs="Times New Roman"/>
          <w:sz w:val="24"/>
          <w:szCs w:val="24"/>
        </w:rPr>
        <w:t xml:space="preserve"> were totally </w:t>
      </w:r>
      <w:r>
        <w:rPr>
          <w:rFonts w:ascii="Times New Roman" w:hAnsi="Times New Roman" w:cs="Times New Roman"/>
          <w:sz w:val="24"/>
          <w:szCs w:val="24"/>
        </w:rPr>
        <w:t>controlled</w:t>
      </w:r>
      <w:r w:rsidRPr="004928A2">
        <w:rPr>
          <w:rFonts w:ascii="Times New Roman" w:hAnsi="Times New Roman" w:cs="Times New Roman"/>
          <w:sz w:val="24"/>
          <w:szCs w:val="24"/>
        </w:rPr>
        <w:t xml:space="preserve"> by the teachers speech and commands. But in this program, teacher was a facilitator in solving and doing the tasks. The teacher admired </w:t>
      </w:r>
      <w:r>
        <w:rPr>
          <w:rFonts w:ascii="Times New Roman" w:hAnsi="Times New Roman" w:cs="Times New Roman"/>
          <w:sz w:val="24"/>
          <w:szCs w:val="24"/>
        </w:rPr>
        <w:t>their</w:t>
      </w:r>
      <w:r w:rsidRPr="004928A2">
        <w:rPr>
          <w:rFonts w:ascii="Times New Roman" w:hAnsi="Times New Roman" w:cs="Times New Roman"/>
          <w:sz w:val="24"/>
          <w:szCs w:val="24"/>
        </w:rPr>
        <w:t xml:space="preserve"> </w:t>
      </w:r>
      <w:r>
        <w:rPr>
          <w:rFonts w:ascii="Times New Roman" w:hAnsi="Times New Roman" w:cs="Times New Roman"/>
          <w:sz w:val="24"/>
          <w:szCs w:val="24"/>
        </w:rPr>
        <w:t>slightest success in speaking. he</w:t>
      </w:r>
      <w:r w:rsidRPr="004928A2">
        <w:rPr>
          <w:rFonts w:ascii="Times New Roman" w:hAnsi="Times New Roman" w:cs="Times New Roman"/>
          <w:sz w:val="24"/>
          <w:szCs w:val="24"/>
        </w:rPr>
        <w:t xml:space="preserve"> realized that learning can be doubled by positive feedback from </w:t>
      </w:r>
      <w:r>
        <w:rPr>
          <w:rFonts w:ascii="Times New Roman" w:hAnsi="Times New Roman" w:cs="Times New Roman"/>
          <w:sz w:val="24"/>
          <w:szCs w:val="24"/>
        </w:rPr>
        <w:t>teachers as well.</w:t>
      </w:r>
    </w:p>
    <w:p w:rsidR="00542038" w:rsidRPr="004928A2" w:rsidRDefault="00542038" w:rsidP="00542038">
      <w:pPr>
        <w:spacing w:after="0"/>
        <w:jc w:val="both"/>
        <w:rPr>
          <w:rFonts w:ascii="Times New Roman" w:hAnsi="Times New Roman" w:cs="Times New Roman"/>
          <w:sz w:val="24"/>
          <w:szCs w:val="24"/>
        </w:rPr>
      </w:pPr>
      <w:r w:rsidRPr="001E1E2B">
        <w:rPr>
          <w:rFonts w:ascii="Times New Roman" w:hAnsi="Times New Roman" w:cs="Times New Roman"/>
          <w:sz w:val="24"/>
          <w:szCs w:val="24"/>
        </w:rPr>
        <w:t>Interviewee “G”</w:t>
      </w:r>
      <w:r>
        <w:rPr>
          <w:rFonts w:ascii="Times New Roman" w:hAnsi="Times New Roman" w:cs="Times New Roman"/>
          <w:sz w:val="24"/>
          <w:szCs w:val="24"/>
        </w:rPr>
        <w:t xml:space="preserve"> says in their</w:t>
      </w:r>
      <w:r w:rsidRPr="004928A2">
        <w:rPr>
          <w:rFonts w:ascii="Times New Roman" w:hAnsi="Times New Roman" w:cs="Times New Roman"/>
          <w:sz w:val="24"/>
          <w:szCs w:val="24"/>
        </w:rPr>
        <w:t xml:space="preserve"> classmates did not act as competitors in the TBLI program. They were like real friends that appeared in difficult moments in speaking situations. </w:t>
      </w:r>
      <w:r>
        <w:rPr>
          <w:rFonts w:ascii="Times New Roman" w:hAnsi="Times New Roman" w:cs="Times New Roman"/>
          <w:sz w:val="24"/>
          <w:szCs w:val="24"/>
        </w:rPr>
        <w:t>His</w:t>
      </w:r>
      <w:r w:rsidRPr="004928A2">
        <w:rPr>
          <w:rFonts w:ascii="Times New Roman" w:hAnsi="Times New Roman" w:cs="Times New Roman"/>
          <w:sz w:val="24"/>
          <w:szCs w:val="24"/>
        </w:rPr>
        <w:t xml:space="preserve"> classmate’s </w:t>
      </w:r>
      <w:r w:rsidRPr="004928A2">
        <w:rPr>
          <w:rFonts w:ascii="Times New Roman" w:hAnsi="Times New Roman" w:cs="Times New Roman"/>
          <w:sz w:val="24"/>
          <w:szCs w:val="24"/>
        </w:rPr>
        <w:lastRenderedPageBreak/>
        <w:t xml:space="preserve">guidance and help showed </w:t>
      </w:r>
      <w:r>
        <w:rPr>
          <w:rFonts w:ascii="Times New Roman" w:hAnsi="Times New Roman" w:cs="Times New Roman"/>
          <w:sz w:val="24"/>
          <w:szCs w:val="24"/>
        </w:rPr>
        <w:t>him</w:t>
      </w:r>
      <w:r w:rsidRPr="004928A2">
        <w:rPr>
          <w:rFonts w:ascii="Times New Roman" w:hAnsi="Times New Roman" w:cs="Times New Roman"/>
          <w:sz w:val="24"/>
          <w:szCs w:val="24"/>
        </w:rPr>
        <w:t xml:space="preserve"> a new way of learning which can last for life. Their approval enabled </w:t>
      </w:r>
      <w:r>
        <w:rPr>
          <w:rFonts w:ascii="Times New Roman" w:hAnsi="Times New Roman" w:cs="Times New Roman"/>
          <w:sz w:val="24"/>
          <w:szCs w:val="24"/>
        </w:rPr>
        <w:t>him</w:t>
      </w:r>
      <w:r w:rsidRPr="004928A2">
        <w:rPr>
          <w:rFonts w:ascii="Times New Roman" w:hAnsi="Times New Roman" w:cs="Times New Roman"/>
          <w:sz w:val="24"/>
          <w:szCs w:val="24"/>
        </w:rPr>
        <w:t xml:space="preserve"> to raise </w:t>
      </w:r>
      <w:r>
        <w:rPr>
          <w:rFonts w:ascii="Times New Roman" w:hAnsi="Times New Roman" w:cs="Times New Roman"/>
          <w:sz w:val="24"/>
          <w:szCs w:val="24"/>
        </w:rPr>
        <w:t>his</w:t>
      </w:r>
      <w:r w:rsidRPr="004928A2">
        <w:rPr>
          <w:rFonts w:ascii="Times New Roman" w:hAnsi="Times New Roman" w:cs="Times New Roman"/>
          <w:sz w:val="24"/>
          <w:szCs w:val="24"/>
        </w:rPr>
        <w:t xml:space="preserve"> confidence in speaking</w:t>
      </w:r>
      <w:r>
        <w:rPr>
          <w:rFonts w:ascii="Times New Roman" w:hAnsi="Times New Roman" w:cs="Times New Roman"/>
          <w:sz w:val="24"/>
          <w:szCs w:val="24"/>
        </w:rPr>
        <w:t xml:space="preserve"> classroom</w:t>
      </w:r>
      <w:r w:rsidRPr="004928A2">
        <w:rPr>
          <w:rFonts w:ascii="Times New Roman" w:hAnsi="Times New Roman" w:cs="Times New Roman"/>
          <w:sz w:val="24"/>
          <w:szCs w:val="24"/>
        </w:rPr>
        <w:t>.</w:t>
      </w:r>
    </w:p>
    <w:p w:rsidR="00542038" w:rsidRPr="002A013F" w:rsidRDefault="00542038" w:rsidP="00542038">
      <w:pPr>
        <w:spacing w:after="0"/>
        <w:jc w:val="both"/>
        <w:rPr>
          <w:rFonts w:ascii="Times New Roman" w:hAnsi="Times New Roman" w:cs="Times New Roman"/>
          <w:b/>
          <w:sz w:val="24"/>
          <w:szCs w:val="24"/>
        </w:rPr>
      </w:pPr>
      <w:r w:rsidRPr="002A013F">
        <w:rPr>
          <w:rFonts w:ascii="Times New Roman" w:hAnsi="Times New Roman" w:cs="Times New Roman"/>
          <w:b/>
          <w:sz w:val="24"/>
          <w:szCs w:val="24"/>
        </w:rPr>
        <w:t>Discussion</w:t>
      </w:r>
    </w:p>
    <w:p w:rsidR="00542038" w:rsidRPr="007B48E3" w:rsidRDefault="00542038" w:rsidP="00542038">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The current study was designed to determine the effect of the TBLI program on Shambu Secondary student’s </w:t>
      </w:r>
      <w:r>
        <w:rPr>
          <w:rFonts w:ascii="Times New Roman" w:hAnsi="Times New Roman" w:cs="Times New Roman"/>
          <w:sz w:val="24"/>
          <w:szCs w:val="24"/>
        </w:rPr>
        <w:t xml:space="preserve">speaking </w:t>
      </w:r>
      <w:r w:rsidRPr="004928A2">
        <w:rPr>
          <w:rFonts w:ascii="Times New Roman" w:hAnsi="Times New Roman" w:cs="Times New Roman"/>
          <w:sz w:val="24"/>
          <w:szCs w:val="24"/>
        </w:rPr>
        <w:t xml:space="preserve">self-efficacy and how they were benefited from TBLI. The findings add to the growing body of evidence by suggesting that secondary students </w:t>
      </w:r>
      <w:r>
        <w:rPr>
          <w:rFonts w:ascii="Times New Roman" w:hAnsi="Times New Roman" w:cs="Times New Roman"/>
          <w:sz w:val="24"/>
          <w:szCs w:val="24"/>
        </w:rPr>
        <w:t xml:space="preserve">speaking self efficacy beliefs’ is increased in developing their </w:t>
      </w:r>
      <w:r w:rsidRPr="00DC7CFE">
        <w:rPr>
          <w:rFonts w:ascii="Times New Roman" w:hAnsi="Times New Roman" w:cs="Times New Roman"/>
          <w:sz w:val="24"/>
          <w:szCs w:val="24"/>
        </w:rPr>
        <w:t>speaking skills in the treatment group significantly differed from the comparison group on the post-questionnaire scores. Compared with the first self-efficacy questionnaire and interview responses, the results showed that students speaking ability enhanced in terms of speaking self efficacy beliefs aspects in</w:t>
      </w:r>
      <w:r w:rsidRPr="004928A2">
        <w:rPr>
          <w:rFonts w:ascii="Times New Roman" w:hAnsi="Times New Roman" w:cs="Times New Roman"/>
          <w:sz w:val="24"/>
          <w:szCs w:val="24"/>
        </w:rPr>
        <w:t xml:space="preserve"> the second administration of the questionnaire and interview. This progress might be ascribed to the </w:t>
      </w:r>
      <w:r w:rsidRPr="007B48E3">
        <w:rPr>
          <w:rFonts w:ascii="Times New Roman" w:hAnsi="Times New Roman" w:cs="Times New Roman"/>
          <w:sz w:val="24"/>
          <w:szCs w:val="24"/>
        </w:rPr>
        <w:t xml:space="preserve">TBLI instruction, supporting the students in the treatment group. </w:t>
      </w:r>
    </w:p>
    <w:p w:rsidR="00542038" w:rsidRPr="007B48E3" w:rsidRDefault="00542038" w:rsidP="00542038">
      <w:pPr>
        <w:spacing w:after="0"/>
        <w:jc w:val="both"/>
        <w:rPr>
          <w:rFonts w:ascii="Times New Roman" w:hAnsi="Times New Roman" w:cs="Times New Roman"/>
          <w:sz w:val="24"/>
          <w:szCs w:val="24"/>
        </w:rPr>
      </w:pPr>
      <w:r w:rsidRPr="007B48E3">
        <w:rPr>
          <w:rFonts w:ascii="Times New Roman" w:hAnsi="Times New Roman" w:cs="Times New Roman"/>
          <w:sz w:val="24"/>
          <w:szCs w:val="24"/>
        </w:rPr>
        <w:t xml:space="preserve">TBLI sets the stage for FL learners to use language to solve problems by offering hard tasks (e.g., giving opinion gaps). As a result of their participation with the FL language, FL students were able to process form, meaning, and function holistically (W. Eskildsen and G. &amp;eod ́orsd  ́ottir, 2017). Furthermore, Bygate, Norris, and Branden (2015) argue that speaking tasks can organize language learning and use by determining the performance context, clarifying the learning activities outcomes, and encouraging learners to appropriately use FL to reach the task outcomes. </w:t>
      </w:r>
    </w:p>
    <w:p w:rsidR="00542038" w:rsidRPr="004928A2" w:rsidRDefault="00542038" w:rsidP="00542038">
      <w:pPr>
        <w:spacing w:after="0"/>
        <w:jc w:val="both"/>
        <w:rPr>
          <w:rFonts w:ascii="Times New Roman" w:hAnsi="Times New Roman" w:cs="Times New Roman"/>
          <w:sz w:val="24"/>
          <w:szCs w:val="24"/>
        </w:rPr>
      </w:pPr>
      <w:r w:rsidRPr="007B48E3">
        <w:rPr>
          <w:rFonts w:ascii="Times New Roman" w:hAnsi="Times New Roman" w:cs="Times New Roman"/>
          <w:sz w:val="24"/>
          <w:szCs w:val="24"/>
        </w:rPr>
        <w:t>The findings further confirm Ellis et al. (2019) findings that the participants acquired the meaning and form of the target linguistic structures sufficiently during task execution. Van den Branden (2021) believes, in line with the findings of this study, that TBLI can address the</w:t>
      </w:r>
      <w:r w:rsidRPr="004928A2">
        <w:rPr>
          <w:rFonts w:ascii="Times New Roman" w:hAnsi="Times New Roman" w:cs="Times New Roman"/>
          <w:sz w:val="24"/>
          <w:szCs w:val="24"/>
        </w:rPr>
        <w:t xml:space="preserve"> requirements and wants of </w:t>
      </w:r>
      <w:r w:rsidRPr="000D5447">
        <w:rPr>
          <w:rFonts w:ascii="Times New Roman" w:hAnsi="Times New Roman" w:cs="Times New Roman"/>
          <w:sz w:val="24"/>
          <w:szCs w:val="24"/>
        </w:rPr>
        <w:t xml:space="preserve">FL </w:t>
      </w:r>
      <w:r>
        <w:rPr>
          <w:rFonts w:ascii="Times New Roman" w:hAnsi="Times New Roman" w:cs="Times New Roman"/>
          <w:sz w:val="24"/>
          <w:szCs w:val="24"/>
        </w:rPr>
        <w:t>students</w:t>
      </w:r>
      <w:r w:rsidRPr="004928A2">
        <w:rPr>
          <w:rFonts w:ascii="Times New Roman" w:hAnsi="Times New Roman" w:cs="Times New Roman"/>
          <w:sz w:val="24"/>
          <w:szCs w:val="24"/>
        </w:rPr>
        <w:t xml:space="preserve"> to solve real-life situations by encouraging </w:t>
      </w:r>
      <w:r w:rsidRPr="000D5447">
        <w:rPr>
          <w:rFonts w:ascii="Times New Roman" w:hAnsi="Times New Roman" w:cs="Times New Roman"/>
          <w:sz w:val="24"/>
          <w:szCs w:val="24"/>
        </w:rPr>
        <w:t>them to employ all of their language skills at</w:t>
      </w:r>
      <w:r w:rsidRPr="004928A2">
        <w:rPr>
          <w:rFonts w:ascii="Times New Roman" w:hAnsi="Times New Roman" w:cs="Times New Roman"/>
          <w:sz w:val="24"/>
          <w:szCs w:val="24"/>
        </w:rPr>
        <w:t xml:space="preserve"> the same time.</w:t>
      </w:r>
    </w:p>
    <w:p w:rsidR="00542038" w:rsidRPr="007B48E3" w:rsidRDefault="00542038" w:rsidP="00542038">
      <w:pPr>
        <w:spacing w:after="0"/>
        <w:jc w:val="both"/>
        <w:rPr>
          <w:rFonts w:ascii="Times New Roman" w:hAnsi="Times New Roman" w:cs="Times New Roman"/>
          <w:sz w:val="24"/>
          <w:szCs w:val="24"/>
        </w:rPr>
      </w:pPr>
      <w:r w:rsidRPr="004928A2">
        <w:rPr>
          <w:rFonts w:ascii="Times New Roman" w:hAnsi="Times New Roman" w:cs="Times New Roman"/>
          <w:sz w:val="24"/>
          <w:szCs w:val="24"/>
        </w:rPr>
        <w:t>TBLI can also be successfully used in Shambu Secondary student classes according to the results of the self-efficacy questionnaire and interview responses. That is, TBLI increased student’s motivation and self-</w:t>
      </w:r>
      <w:r>
        <w:rPr>
          <w:rFonts w:ascii="Times New Roman" w:hAnsi="Times New Roman" w:cs="Times New Roman"/>
          <w:sz w:val="24"/>
          <w:szCs w:val="24"/>
        </w:rPr>
        <w:t>efficacy beliefs</w:t>
      </w:r>
      <w:r w:rsidRPr="004928A2">
        <w:rPr>
          <w:rFonts w:ascii="Times New Roman" w:hAnsi="Times New Roman" w:cs="Times New Roman"/>
          <w:sz w:val="24"/>
          <w:szCs w:val="24"/>
        </w:rPr>
        <w:t xml:space="preserve"> through speaking </w:t>
      </w:r>
      <w:r>
        <w:rPr>
          <w:rFonts w:ascii="Times New Roman" w:hAnsi="Times New Roman" w:cs="Times New Roman"/>
          <w:sz w:val="24"/>
          <w:szCs w:val="24"/>
        </w:rPr>
        <w:t>activities</w:t>
      </w:r>
      <w:r w:rsidRPr="004928A2">
        <w:rPr>
          <w:rFonts w:ascii="Times New Roman" w:hAnsi="Times New Roman" w:cs="Times New Roman"/>
          <w:sz w:val="24"/>
          <w:szCs w:val="24"/>
        </w:rPr>
        <w:t xml:space="preserve">. Further-more, in a cooperative </w:t>
      </w:r>
      <w:r w:rsidRPr="007B48E3">
        <w:rPr>
          <w:rFonts w:ascii="Times New Roman" w:hAnsi="Times New Roman" w:cs="Times New Roman"/>
          <w:sz w:val="24"/>
          <w:szCs w:val="24"/>
        </w:rPr>
        <w:t>environment, pupils were encouraged to employ additional language abilities. As a result, speaking activities prioritized meaning and followed explicit real-world language use objectives. The findings of the study can be explained using constructivist theories (Vygotsky, 1978; Vygotsky, 1986). In this way, the students communicated with one another in a communicative setting to create the necessary knowledge. Students could fill in the deficiencies in their speaking skills with the help of their peers in a social process (Cutrone and S. Beh, 2018; Harris and Leeming, “&amp;e, 2021; Moore, 2018).</w:t>
      </w:r>
    </w:p>
    <w:p w:rsidR="00542038" w:rsidRDefault="00542038" w:rsidP="00542038">
      <w:pPr>
        <w:spacing w:after="0"/>
        <w:jc w:val="both"/>
        <w:rPr>
          <w:rFonts w:ascii="Times New Roman" w:hAnsi="Times New Roman" w:cs="Times New Roman"/>
          <w:sz w:val="24"/>
          <w:szCs w:val="24"/>
          <w:lang w:val="en-US"/>
        </w:rPr>
      </w:pPr>
      <w:r w:rsidRPr="007B48E3">
        <w:rPr>
          <w:rFonts w:ascii="Times New Roman" w:hAnsi="Times New Roman" w:cs="Times New Roman"/>
          <w:sz w:val="24"/>
          <w:szCs w:val="24"/>
        </w:rPr>
        <w:t>According to the results obtained from the interview, the participants had many benefits of TBLI. The findings of the study show that in TBLI, the emphasis is on a way rather than the what (Nunan, 2004). That is, students benefited from this school of thought, which emphasizes procedural knowledge in order to do a task effectively (Jordan and H. Gray, 2019). Similarly,</w:t>
      </w:r>
      <w:r w:rsidRPr="00EB6C4E">
        <w:rPr>
          <w:rFonts w:ascii="Times New Roman" w:hAnsi="Times New Roman" w:cs="Times New Roman"/>
          <w:sz w:val="24"/>
          <w:szCs w:val="24"/>
        </w:rPr>
        <w:t xml:space="preserve"> Experiential Learning theory (Kolb, 1984) [58] states that students can use new knowledge and abilities to supplement what they already know</w:t>
      </w:r>
      <w:r w:rsidRPr="004928A2">
        <w:rPr>
          <w:rFonts w:ascii="Times New Roman" w:hAnsi="Times New Roman" w:cs="Times New Roman"/>
          <w:sz w:val="24"/>
          <w:szCs w:val="24"/>
        </w:rPr>
        <w:t xml:space="preserve"> to create </w:t>
      </w:r>
      <w:r w:rsidRPr="00CF63AC">
        <w:rPr>
          <w:rFonts w:ascii="Times New Roman" w:hAnsi="Times New Roman" w:cs="Times New Roman"/>
          <w:sz w:val="24"/>
          <w:szCs w:val="24"/>
        </w:rPr>
        <w:t>a well-organized meaning.</w:t>
      </w:r>
    </w:p>
    <w:p w:rsidR="00542038" w:rsidRPr="00FC6B8F" w:rsidRDefault="00542038" w:rsidP="00542038">
      <w:pPr>
        <w:spacing w:after="0" w:line="240" w:lineRule="auto"/>
        <w:jc w:val="both"/>
        <w:rPr>
          <w:rFonts w:ascii="Times New Roman" w:hAnsi="Times New Roman" w:cs="Times New Roman"/>
          <w:sz w:val="24"/>
          <w:szCs w:val="24"/>
        </w:rPr>
      </w:pPr>
      <w:r w:rsidRPr="004928A2">
        <w:rPr>
          <w:rFonts w:ascii="Times New Roman" w:hAnsi="Times New Roman" w:cs="Times New Roman"/>
          <w:sz w:val="24"/>
          <w:szCs w:val="24"/>
        </w:rPr>
        <w:t xml:space="preserve">Furthermore, the learner’s positive </w:t>
      </w:r>
      <w:r w:rsidRPr="009E1126">
        <w:rPr>
          <w:rFonts w:ascii="Times New Roman" w:hAnsi="Times New Roman" w:cs="Times New Roman"/>
          <w:sz w:val="24"/>
          <w:szCs w:val="24"/>
        </w:rPr>
        <w:t>views</w:t>
      </w:r>
      <w:r w:rsidRPr="004928A2">
        <w:rPr>
          <w:rFonts w:ascii="Times New Roman" w:hAnsi="Times New Roman" w:cs="Times New Roman"/>
          <w:sz w:val="24"/>
          <w:szCs w:val="24"/>
        </w:rPr>
        <w:t xml:space="preserve"> toward </w:t>
      </w:r>
      <w:r>
        <w:rPr>
          <w:rFonts w:ascii="Times New Roman" w:hAnsi="Times New Roman" w:cs="Times New Roman"/>
          <w:sz w:val="24"/>
          <w:szCs w:val="24"/>
        </w:rPr>
        <w:t xml:space="preserve">the benefits of </w:t>
      </w:r>
      <w:r w:rsidRPr="004928A2">
        <w:rPr>
          <w:rFonts w:ascii="Times New Roman" w:hAnsi="Times New Roman" w:cs="Times New Roman"/>
          <w:sz w:val="24"/>
          <w:szCs w:val="24"/>
        </w:rPr>
        <w:t xml:space="preserve">TBLI can be attributed to the belief that TBLI was beneficial </w:t>
      </w:r>
      <w:r w:rsidRPr="00BF7DE8">
        <w:rPr>
          <w:rFonts w:ascii="Times New Roman" w:hAnsi="Times New Roman" w:cs="Times New Roman"/>
          <w:sz w:val="24"/>
          <w:szCs w:val="24"/>
        </w:rPr>
        <w:t xml:space="preserve">in generating a learning environment that was conducive to student’s involvement and motivation (Bao and X. Du </w:t>
      </w:r>
      <w:r w:rsidRPr="00FC6B8F">
        <w:rPr>
          <w:rFonts w:ascii="Times New Roman" w:hAnsi="Times New Roman" w:cs="Times New Roman"/>
          <w:sz w:val="24"/>
          <w:szCs w:val="24"/>
        </w:rPr>
        <w:t xml:space="preserve">2015). Furthermore, one possible </w:t>
      </w:r>
      <w:r w:rsidRPr="00FC6B8F">
        <w:rPr>
          <w:rFonts w:ascii="Times New Roman" w:hAnsi="Times New Roman" w:cs="Times New Roman"/>
          <w:sz w:val="24"/>
          <w:szCs w:val="24"/>
        </w:rPr>
        <w:lastRenderedPageBreak/>
        <w:t xml:space="preserve">explanation for the findings is that TBLI valued the student’s participation and cooperation in the learning processes and encouraged those to use group work to talk based on the intended </w:t>
      </w:r>
      <w:r w:rsidRPr="00C335B3">
        <w:rPr>
          <w:rFonts w:ascii="Times New Roman" w:hAnsi="Times New Roman" w:cs="Times New Roman"/>
          <w:sz w:val="24"/>
          <w:szCs w:val="24"/>
        </w:rPr>
        <w:t>criteria (R</w:t>
      </w:r>
      <w:r w:rsidRPr="00FC6B8F">
        <w:rPr>
          <w:rFonts w:ascii="Times New Roman" w:hAnsi="Times New Roman" w:cs="Times New Roman"/>
          <w:sz w:val="24"/>
          <w:szCs w:val="24"/>
        </w:rPr>
        <w:t>. Ellis, P. Skehan, S. Li, N. Shintani, and C. Lambert, 2019); R. Ellis , 2003; P. Skehan, 2003).</w:t>
      </w:r>
    </w:p>
    <w:p w:rsidR="00542038" w:rsidRPr="00FC6B8F" w:rsidRDefault="00542038" w:rsidP="00542038">
      <w:pPr>
        <w:spacing w:after="0" w:line="240" w:lineRule="auto"/>
        <w:jc w:val="both"/>
        <w:rPr>
          <w:rFonts w:ascii="Times New Roman" w:hAnsi="Times New Roman" w:cs="Times New Roman"/>
          <w:sz w:val="24"/>
          <w:szCs w:val="24"/>
        </w:rPr>
      </w:pPr>
      <w:r w:rsidRPr="00FC6B8F">
        <w:rPr>
          <w:rFonts w:ascii="Times New Roman" w:hAnsi="Times New Roman" w:cs="Times New Roman"/>
          <w:sz w:val="24"/>
          <w:szCs w:val="24"/>
        </w:rPr>
        <w:t>The comments of interview participants in this regard are empirically well corroborated by the findings of the study are consistent with those of Iwashita and Li (2012), who found that TBLI encouraged their participants to participate actively in classroom interactions. Furthermore, their findings revealed that the learners rebuilt non target structures after receiving feedback during interactions and that the feedback was incorporated into the following production.</w:t>
      </w:r>
    </w:p>
    <w:p w:rsidR="00542038" w:rsidRPr="00FC6B8F" w:rsidRDefault="00542038" w:rsidP="00542038">
      <w:pPr>
        <w:spacing w:after="0" w:line="240" w:lineRule="auto"/>
        <w:jc w:val="both"/>
        <w:rPr>
          <w:rFonts w:ascii="Times New Roman" w:hAnsi="Times New Roman" w:cs="Times New Roman"/>
          <w:b/>
          <w:sz w:val="24"/>
          <w:szCs w:val="24"/>
        </w:rPr>
      </w:pPr>
      <w:r w:rsidRPr="00FC6B8F">
        <w:rPr>
          <w:rFonts w:ascii="Times New Roman" w:hAnsi="Times New Roman" w:cs="Times New Roman"/>
          <w:b/>
          <w:sz w:val="24"/>
          <w:szCs w:val="24"/>
        </w:rPr>
        <w:t>Conclusions and Pedagogical Implications</w:t>
      </w:r>
    </w:p>
    <w:p w:rsidR="00542038" w:rsidRPr="00FC6B8F" w:rsidRDefault="00542038" w:rsidP="00542038">
      <w:pPr>
        <w:spacing w:after="0" w:line="240" w:lineRule="auto"/>
        <w:jc w:val="both"/>
        <w:rPr>
          <w:rFonts w:ascii="Times New Roman" w:hAnsi="Times New Roman" w:cs="Times New Roman"/>
          <w:sz w:val="24"/>
          <w:szCs w:val="24"/>
        </w:rPr>
      </w:pPr>
      <w:r w:rsidRPr="00FC6B8F">
        <w:rPr>
          <w:rFonts w:ascii="Times New Roman" w:hAnsi="Times New Roman" w:cs="Times New Roman"/>
          <w:sz w:val="24"/>
          <w:szCs w:val="24"/>
        </w:rPr>
        <w:t>Despite their strong theoretical basis, communicative techniques in general and TBLI in particular, appear to be underutilized at Shambu secondary school. This prompted the researchers to use quantitative and qualitative methods to investigate the effects of TBLI on Shambu secondary student’s self-efficacy in speaking skills and the benefits of TBLI. The results showed that after implementing the TBLI program, the treatment group’s speaking self-efficacy in speaking ability improved significantly compared to the comparison group and they are benefited from TBLI.</w:t>
      </w:r>
    </w:p>
    <w:p w:rsidR="00542038" w:rsidRPr="004928A2" w:rsidRDefault="00542038" w:rsidP="00542038">
      <w:pPr>
        <w:spacing w:after="0" w:line="240" w:lineRule="auto"/>
        <w:jc w:val="both"/>
        <w:rPr>
          <w:rFonts w:ascii="Times New Roman" w:hAnsi="Times New Roman" w:cs="Times New Roman"/>
          <w:sz w:val="24"/>
          <w:szCs w:val="24"/>
        </w:rPr>
      </w:pPr>
      <w:r w:rsidRPr="00FC6B8F">
        <w:rPr>
          <w:rFonts w:ascii="Times New Roman" w:hAnsi="Times New Roman" w:cs="Times New Roman"/>
          <w:sz w:val="24"/>
          <w:szCs w:val="24"/>
        </w:rPr>
        <w:t>A variety of educational implications are proposed based on the study’s findings. To</w:t>
      </w:r>
      <w:r w:rsidRPr="004928A2">
        <w:rPr>
          <w:rFonts w:ascii="Times New Roman" w:hAnsi="Times New Roman" w:cs="Times New Roman"/>
          <w:sz w:val="24"/>
          <w:szCs w:val="24"/>
        </w:rPr>
        <w:t xml:space="preserve"> begin, first, pre-service and in-service </w:t>
      </w:r>
      <w:r w:rsidRPr="004F001A">
        <w:rPr>
          <w:rFonts w:ascii="Times New Roman" w:hAnsi="Times New Roman" w:cs="Times New Roman"/>
          <w:sz w:val="24"/>
          <w:szCs w:val="24"/>
        </w:rPr>
        <w:t>teacher training</w:t>
      </w:r>
      <w:r w:rsidRPr="004928A2">
        <w:rPr>
          <w:rFonts w:ascii="Times New Roman" w:hAnsi="Times New Roman" w:cs="Times New Roman"/>
          <w:sz w:val="24"/>
          <w:szCs w:val="24"/>
        </w:rPr>
        <w:t xml:space="preserve"> for Shambu secondary school English teachers might be offered to familiarize them with the basic ideas of TBLI and how to use them in their classrooms. Second, educational policymakers in Ethiopia/Oromia may be able to identify and pick instructional tasks that correspond to the actions that secondary students are required to perform at their place of employment. The speaking section of the course books, in particular, can be constructed using a </w:t>
      </w:r>
      <w:r>
        <w:rPr>
          <w:rFonts w:ascii="Times New Roman" w:hAnsi="Times New Roman" w:cs="Times New Roman"/>
          <w:sz w:val="24"/>
          <w:szCs w:val="24"/>
        </w:rPr>
        <w:t xml:space="preserve">TBLI </w:t>
      </w:r>
      <w:r w:rsidRPr="004928A2">
        <w:rPr>
          <w:rFonts w:ascii="Times New Roman" w:hAnsi="Times New Roman" w:cs="Times New Roman"/>
          <w:sz w:val="24"/>
          <w:szCs w:val="24"/>
        </w:rPr>
        <w:t>based approach to speaking. Third, through the TBLI program, it is crucial to foster a good, supportive, low-stress environment that stimulates innovation and risk-taking, particularly among less confident pupils.</w:t>
      </w:r>
    </w:p>
    <w:p w:rsidR="00542038" w:rsidRPr="004928A2" w:rsidRDefault="00542038" w:rsidP="00542038">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Given the current study’s limitations, a number of recommendations for further research are offered. As previously said, the current study looked into the </w:t>
      </w:r>
      <w:r>
        <w:rPr>
          <w:rFonts w:ascii="Times New Roman" w:hAnsi="Times New Roman" w:cs="Times New Roman"/>
          <w:sz w:val="24"/>
          <w:szCs w:val="24"/>
        </w:rPr>
        <w:t xml:space="preserve">effects </w:t>
      </w:r>
      <w:r w:rsidRPr="004928A2">
        <w:rPr>
          <w:rFonts w:ascii="Times New Roman" w:hAnsi="Times New Roman" w:cs="Times New Roman"/>
          <w:sz w:val="24"/>
          <w:szCs w:val="24"/>
        </w:rPr>
        <w:t xml:space="preserve">of TBLI on self-efficacy in the speaking </w:t>
      </w:r>
      <w:r>
        <w:rPr>
          <w:rFonts w:ascii="Times New Roman" w:hAnsi="Times New Roman" w:cs="Times New Roman"/>
          <w:sz w:val="24"/>
          <w:szCs w:val="24"/>
        </w:rPr>
        <w:t>performances</w:t>
      </w:r>
      <w:r w:rsidRPr="004928A2">
        <w:rPr>
          <w:rFonts w:ascii="Times New Roman" w:hAnsi="Times New Roman" w:cs="Times New Roman"/>
          <w:sz w:val="24"/>
          <w:szCs w:val="24"/>
        </w:rPr>
        <w:t xml:space="preserve"> of Shambu secondary school students. More mixed methods research is needed to examine the impacts of TBLI on other language </w:t>
      </w:r>
      <w:r>
        <w:rPr>
          <w:rFonts w:ascii="Times New Roman" w:hAnsi="Times New Roman" w:cs="Times New Roman"/>
          <w:sz w:val="24"/>
          <w:szCs w:val="24"/>
        </w:rPr>
        <w:t>skills</w:t>
      </w:r>
      <w:r w:rsidRPr="004928A2">
        <w:rPr>
          <w:rFonts w:ascii="Times New Roman" w:hAnsi="Times New Roman" w:cs="Times New Roman"/>
          <w:sz w:val="24"/>
          <w:szCs w:val="24"/>
        </w:rPr>
        <w:t xml:space="preserve"> in order to gain a more </w:t>
      </w:r>
      <w:r w:rsidRPr="004F001A">
        <w:rPr>
          <w:rFonts w:ascii="Times New Roman" w:hAnsi="Times New Roman" w:cs="Times New Roman"/>
          <w:sz w:val="24"/>
          <w:szCs w:val="24"/>
        </w:rPr>
        <w:t>thorough</w:t>
      </w:r>
      <w:r w:rsidRPr="004928A2">
        <w:rPr>
          <w:rFonts w:ascii="Times New Roman" w:hAnsi="Times New Roman" w:cs="Times New Roman"/>
          <w:sz w:val="24"/>
          <w:szCs w:val="24"/>
        </w:rPr>
        <w:t xml:space="preserve"> knowledge of its efficacy (e.g., reading, writing, and listening). Though the study outcomes were encouraging in terms of the usefulness of TBLI in the development of secondary students’ </w:t>
      </w:r>
      <w:r>
        <w:rPr>
          <w:rFonts w:ascii="Times New Roman" w:hAnsi="Times New Roman" w:cs="Times New Roman"/>
          <w:sz w:val="24"/>
          <w:szCs w:val="24"/>
        </w:rPr>
        <w:t xml:space="preserve">speaking self </w:t>
      </w:r>
      <w:r w:rsidRPr="004F001A">
        <w:rPr>
          <w:rFonts w:ascii="Times New Roman" w:hAnsi="Times New Roman" w:cs="Times New Roman"/>
          <w:sz w:val="24"/>
          <w:szCs w:val="24"/>
        </w:rPr>
        <w:t>efficacy in speaking classes,</w:t>
      </w:r>
      <w:r w:rsidRPr="004928A2">
        <w:rPr>
          <w:rFonts w:ascii="Times New Roman" w:hAnsi="Times New Roman" w:cs="Times New Roman"/>
          <w:sz w:val="24"/>
          <w:szCs w:val="24"/>
        </w:rPr>
        <w:t xml:space="preserve"> future research can look into its benefits in a variety of settings (e.g., primary schools, private language schools) with a variety of participants (e.g., children, teenagers, and adults). </w:t>
      </w:r>
    </w:p>
    <w:p w:rsidR="00542038" w:rsidRPr="00542038" w:rsidRDefault="00542038">
      <w:pPr>
        <w:rPr>
          <w:lang w:val="en-US"/>
        </w:rPr>
      </w:pPr>
    </w:p>
    <w:sectPr w:rsidR="00542038" w:rsidRPr="00542038" w:rsidSect="006D0A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12C56"/>
    <w:rsid w:val="00005291"/>
    <w:rsid w:val="00012C56"/>
    <w:rsid w:val="003057B2"/>
    <w:rsid w:val="00542038"/>
    <w:rsid w:val="006D0A89"/>
    <w:rsid w:val="0079068F"/>
    <w:rsid w:val="008D2733"/>
    <w:rsid w:val="00964099"/>
    <w:rsid w:val="009E69B1"/>
    <w:rsid w:val="00A63088"/>
    <w:rsid w:val="00C65FF3"/>
    <w:rsid w:val="00D20B50"/>
    <w:rsid w:val="00EF7076"/>
    <w:rsid w:val="00F13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56"/>
    <w:pPr>
      <w:spacing w:after="160" w:line="259" w:lineRule="auto"/>
    </w:pPr>
    <w:rPr>
      <w:lang w:val="id-ID" w:bidi="ar-SA"/>
    </w:rPr>
  </w:style>
  <w:style w:type="paragraph" w:styleId="Heading1">
    <w:name w:val="heading 1"/>
    <w:basedOn w:val="Normal"/>
    <w:next w:val="Normal"/>
    <w:link w:val="Heading1Char"/>
    <w:uiPriority w:val="9"/>
    <w:qFormat/>
    <w:rsid w:val="009E6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69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E69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69B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E69B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69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E69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69B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E69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E6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69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69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69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E69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E69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E69B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E69B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E69B1"/>
    <w:pPr>
      <w:spacing w:line="240" w:lineRule="auto"/>
    </w:pPr>
    <w:rPr>
      <w:b/>
      <w:bCs/>
      <w:color w:val="4F81BD" w:themeColor="accent1"/>
      <w:sz w:val="18"/>
      <w:szCs w:val="18"/>
    </w:rPr>
  </w:style>
  <w:style w:type="paragraph" w:styleId="Title">
    <w:name w:val="Title"/>
    <w:basedOn w:val="Normal"/>
    <w:next w:val="Normal"/>
    <w:link w:val="TitleChar"/>
    <w:uiPriority w:val="10"/>
    <w:qFormat/>
    <w:rsid w:val="009E69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69B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69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69B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E69B1"/>
    <w:rPr>
      <w:b/>
      <w:bCs/>
    </w:rPr>
  </w:style>
  <w:style w:type="character" w:styleId="Emphasis">
    <w:name w:val="Emphasis"/>
    <w:basedOn w:val="DefaultParagraphFont"/>
    <w:uiPriority w:val="20"/>
    <w:qFormat/>
    <w:rsid w:val="009E69B1"/>
    <w:rPr>
      <w:i/>
      <w:iCs/>
    </w:rPr>
  </w:style>
  <w:style w:type="paragraph" w:styleId="NoSpacing">
    <w:name w:val="No Spacing"/>
    <w:uiPriority w:val="1"/>
    <w:qFormat/>
    <w:rsid w:val="009E69B1"/>
    <w:pPr>
      <w:spacing w:after="0" w:line="240" w:lineRule="auto"/>
    </w:pPr>
  </w:style>
  <w:style w:type="paragraph" w:styleId="ListParagraph">
    <w:name w:val="List Paragraph"/>
    <w:basedOn w:val="Normal"/>
    <w:uiPriority w:val="34"/>
    <w:qFormat/>
    <w:rsid w:val="009E69B1"/>
    <w:pPr>
      <w:ind w:left="720"/>
      <w:contextualSpacing/>
    </w:pPr>
  </w:style>
  <w:style w:type="paragraph" w:styleId="Quote">
    <w:name w:val="Quote"/>
    <w:basedOn w:val="Normal"/>
    <w:next w:val="Normal"/>
    <w:link w:val="QuoteChar"/>
    <w:uiPriority w:val="29"/>
    <w:qFormat/>
    <w:rsid w:val="009E69B1"/>
    <w:rPr>
      <w:i/>
      <w:iCs/>
      <w:color w:val="000000" w:themeColor="text1"/>
    </w:rPr>
  </w:style>
  <w:style w:type="character" w:customStyle="1" w:styleId="QuoteChar">
    <w:name w:val="Quote Char"/>
    <w:basedOn w:val="DefaultParagraphFont"/>
    <w:link w:val="Quote"/>
    <w:uiPriority w:val="29"/>
    <w:rsid w:val="009E69B1"/>
    <w:rPr>
      <w:i/>
      <w:iCs/>
      <w:color w:val="000000" w:themeColor="text1"/>
    </w:rPr>
  </w:style>
  <w:style w:type="paragraph" w:styleId="IntenseQuote">
    <w:name w:val="Intense Quote"/>
    <w:basedOn w:val="Normal"/>
    <w:next w:val="Normal"/>
    <w:link w:val="IntenseQuoteChar"/>
    <w:uiPriority w:val="30"/>
    <w:qFormat/>
    <w:rsid w:val="009E69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69B1"/>
    <w:rPr>
      <w:b/>
      <w:bCs/>
      <w:i/>
      <w:iCs/>
      <w:color w:val="4F81BD" w:themeColor="accent1"/>
    </w:rPr>
  </w:style>
  <w:style w:type="character" w:styleId="SubtleEmphasis">
    <w:name w:val="Subtle Emphasis"/>
    <w:basedOn w:val="DefaultParagraphFont"/>
    <w:uiPriority w:val="19"/>
    <w:qFormat/>
    <w:rsid w:val="009E69B1"/>
    <w:rPr>
      <w:i/>
      <w:iCs/>
      <w:color w:val="808080" w:themeColor="text1" w:themeTint="7F"/>
    </w:rPr>
  </w:style>
  <w:style w:type="character" w:styleId="IntenseEmphasis">
    <w:name w:val="Intense Emphasis"/>
    <w:basedOn w:val="DefaultParagraphFont"/>
    <w:uiPriority w:val="21"/>
    <w:qFormat/>
    <w:rsid w:val="009E69B1"/>
    <w:rPr>
      <w:b/>
      <w:bCs/>
      <w:i/>
      <w:iCs/>
      <w:color w:val="4F81BD" w:themeColor="accent1"/>
    </w:rPr>
  </w:style>
  <w:style w:type="character" w:styleId="SubtleReference">
    <w:name w:val="Subtle Reference"/>
    <w:basedOn w:val="DefaultParagraphFont"/>
    <w:uiPriority w:val="31"/>
    <w:qFormat/>
    <w:rsid w:val="009E69B1"/>
    <w:rPr>
      <w:smallCaps/>
      <w:color w:val="C0504D" w:themeColor="accent2"/>
      <w:u w:val="single"/>
    </w:rPr>
  </w:style>
  <w:style w:type="character" w:styleId="IntenseReference">
    <w:name w:val="Intense Reference"/>
    <w:basedOn w:val="DefaultParagraphFont"/>
    <w:uiPriority w:val="32"/>
    <w:qFormat/>
    <w:rsid w:val="009E69B1"/>
    <w:rPr>
      <w:b/>
      <w:bCs/>
      <w:smallCaps/>
      <w:color w:val="C0504D" w:themeColor="accent2"/>
      <w:spacing w:val="5"/>
      <w:u w:val="single"/>
    </w:rPr>
  </w:style>
  <w:style w:type="character" w:styleId="BookTitle">
    <w:name w:val="Book Title"/>
    <w:basedOn w:val="DefaultParagraphFont"/>
    <w:uiPriority w:val="33"/>
    <w:qFormat/>
    <w:rsid w:val="009E69B1"/>
    <w:rPr>
      <w:b/>
      <w:bCs/>
      <w:smallCaps/>
      <w:spacing w:val="5"/>
    </w:rPr>
  </w:style>
  <w:style w:type="paragraph" w:styleId="TOCHeading">
    <w:name w:val="TOC Heading"/>
    <w:basedOn w:val="Heading1"/>
    <w:next w:val="Normal"/>
    <w:uiPriority w:val="39"/>
    <w:semiHidden/>
    <w:unhideWhenUsed/>
    <w:qFormat/>
    <w:rsid w:val="009E69B1"/>
    <w:pPr>
      <w:outlineLvl w:val="9"/>
    </w:pPr>
  </w:style>
  <w:style w:type="paragraph" w:customStyle="1" w:styleId="IEEEReferenceItem">
    <w:name w:val="IEEE Reference Item"/>
    <w:basedOn w:val="Normal"/>
    <w:rsid w:val="00012C56"/>
    <w:pPr>
      <w:tabs>
        <w:tab w:val="num" w:pos="432"/>
      </w:tabs>
      <w:adjustRightInd w:val="0"/>
      <w:snapToGrid w:val="0"/>
      <w:spacing w:after="0" w:line="240" w:lineRule="auto"/>
      <w:ind w:left="432" w:hanging="432"/>
      <w:jc w:val="both"/>
    </w:pPr>
    <w:rPr>
      <w:rFonts w:ascii="Times New Roman" w:eastAsia="SimSun" w:hAnsi="Times New Roman" w:cs="Times New Roman"/>
      <w:noProof/>
      <w:sz w:val="16"/>
      <w:szCs w:val="24"/>
      <w:lang w:val="en-US" w:eastAsia="zh-CN"/>
    </w:rPr>
  </w:style>
  <w:style w:type="table" w:styleId="TableGrid">
    <w:name w:val="Table Grid"/>
    <w:basedOn w:val="TableNormal"/>
    <w:uiPriority w:val="59"/>
    <w:rsid w:val="00542038"/>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2555</Words>
  <Characters>14568</Characters>
  <Application>Microsoft Office Word</Application>
  <DocSecurity>0</DocSecurity>
  <Lines>121</Lines>
  <Paragraphs>34</Paragraphs>
  <ScaleCrop>false</ScaleCrop>
  <Company/>
  <LinksUpToDate>false</LinksUpToDate>
  <CharactersWithSpaces>17089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2023-08-18T18:25:00Z</dcterms:created>
  <dcterms:modified xsi:type="dcterms:W3CDTF">2023-08-18T18:34:00Z</dcterms:modified>
</cp:coreProperties>
</file>