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1A7F3" w14:textId="127C2F41" w:rsidR="001B4761" w:rsidRPr="007B0B19" w:rsidRDefault="00EB3190" w:rsidP="00B95F43">
      <w:pPr>
        <w:spacing w:after="0" w:line="240" w:lineRule="auto"/>
        <w:jc w:val="center"/>
        <w:rPr>
          <w:rFonts w:ascii="Avenir Next LT Pro" w:hAnsi="Avenir Next LT Pro"/>
          <w:b/>
          <w:bCs/>
          <w:color w:val="0070C0"/>
          <w:sz w:val="24"/>
          <w:szCs w:val="24"/>
        </w:rPr>
      </w:pPr>
      <w:r w:rsidRPr="00EB3190">
        <w:rPr>
          <w:rFonts w:ascii="Avenir Next LT Pro" w:hAnsi="Avenir Next LT Pro"/>
          <w:b/>
          <w:bCs/>
          <w:color w:val="0070C0"/>
          <w:sz w:val="24"/>
          <w:szCs w:val="24"/>
        </w:rPr>
        <w:t>Participatory Learning with Critical Problem-Solving Approaches in Teaching Simple Machines: Its Effectiveness on Students' Science Process Skills</w:t>
      </w:r>
    </w:p>
    <w:p w14:paraId="37ECF7E0" w14:textId="77777777" w:rsidR="0046269A" w:rsidRDefault="0046269A" w:rsidP="00B95F43">
      <w:pPr>
        <w:spacing w:after="0" w:line="240" w:lineRule="auto"/>
        <w:jc w:val="both"/>
        <w:rPr>
          <w:rFonts w:ascii="Avenir Next LT Pro" w:hAnsi="Avenir Next LT Pro"/>
        </w:rPr>
      </w:pPr>
    </w:p>
    <w:p w14:paraId="5E41244F" w14:textId="518DAA56" w:rsidR="008F3A60" w:rsidRPr="00A6407B" w:rsidRDefault="008F3A60" w:rsidP="00B95F43">
      <w:pPr>
        <w:spacing w:after="0" w:line="240" w:lineRule="auto"/>
        <w:jc w:val="center"/>
        <w:rPr>
          <w:rFonts w:ascii="Avenir Next LT Pro" w:hAnsi="Avenir Next LT Pro"/>
          <w:b/>
          <w:bCs/>
          <w:sz w:val="20"/>
          <w:szCs w:val="20"/>
          <w:vertAlign w:val="superscript"/>
        </w:rPr>
      </w:pPr>
      <w:r w:rsidRPr="00837001">
        <w:rPr>
          <w:rFonts w:ascii="Avenir Next LT Pro" w:hAnsi="Avenir Next LT Pro"/>
          <w:b/>
          <w:bCs/>
          <w:sz w:val="20"/>
          <w:szCs w:val="20"/>
        </w:rPr>
        <w:t>Nevi Ernita</w:t>
      </w:r>
      <w:r w:rsidR="00A6407B">
        <w:rPr>
          <w:rFonts w:ascii="Avenir Next LT Pro" w:hAnsi="Avenir Next LT Pro"/>
          <w:b/>
          <w:bCs/>
          <w:sz w:val="20"/>
          <w:szCs w:val="20"/>
          <w:vertAlign w:val="superscript"/>
        </w:rPr>
        <w:t>1</w:t>
      </w:r>
      <w:r w:rsidR="00A6407B">
        <w:rPr>
          <w:rFonts w:ascii="Avenir Next LT Pro" w:hAnsi="Avenir Next LT Pro"/>
          <w:b/>
          <w:bCs/>
          <w:sz w:val="20"/>
          <w:szCs w:val="20"/>
        </w:rPr>
        <w:t xml:space="preserve">*, </w:t>
      </w:r>
      <w:proofErr w:type="spellStart"/>
      <w:r w:rsidR="00A6407B" w:rsidRPr="00A6407B">
        <w:rPr>
          <w:rFonts w:ascii="Avenir Next LT Pro" w:hAnsi="Avenir Next LT Pro"/>
          <w:b/>
          <w:bCs/>
          <w:sz w:val="20"/>
          <w:szCs w:val="20"/>
        </w:rPr>
        <w:t>Nilawati</w:t>
      </w:r>
      <w:proofErr w:type="spellEnd"/>
      <w:r w:rsidR="00A6407B" w:rsidRPr="00A6407B">
        <w:rPr>
          <w:rFonts w:ascii="Avenir Next LT Pro" w:hAnsi="Avenir Next LT Pro"/>
          <w:b/>
          <w:bCs/>
          <w:sz w:val="20"/>
          <w:szCs w:val="20"/>
        </w:rPr>
        <w:t xml:space="preserve"> Ute</w:t>
      </w:r>
      <w:r w:rsidR="00A6407B">
        <w:rPr>
          <w:rFonts w:ascii="Avenir Next LT Pro" w:hAnsi="Avenir Next LT Pro"/>
          <w:b/>
          <w:bCs/>
          <w:sz w:val="20"/>
          <w:szCs w:val="20"/>
          <w:vertAlign w:val="superscript"/>
        </w:rPr>
        <w:t>2</w:t>
      </w:r>
      <w:r w:rsidR="00A6407B">
        <w:rPr>
          <w:rFonts w:ascii="Avenir Next LT Pro" w:hAnsi="Avenir Next LT Pro"/>
          <w:b/>
          <w:bCs/>
          <w:sz w:val="20"/>
          <w:szCs w:val="20"/>
        </w:rPr>
        <w:t xml:space="preserve">, </w:t>
      </w:r>
      <w:r w:rsidR="00A6407B" w:rsidRPr="00A6407B">
        <w:rPr>
          <w:rFonts w:ascii="Avenir Next LT Pro" w:hAnsi="Avenir Next LT Pro"/>
          <w:b/>
          <w:bCs/>
          <w:sz w:val="20"/>
          <w:szCs w:val="20"/>
        </w:rPr>
        <w:t>Luh Sukariasih</w:t>
      </w:r>
      <w:r w:rsidR="00A6407B">
        <w:rPr>
          <w:rFonts w:ascii="Avenir Next LT Pro" w:hAnsi="Avenir Next LT Pro"/>
          <w:b/>
          <w:bCs/>
          <w:sz w:val="20"/>
          <w:szCs w:val="20"/>
          <w:vertAlign w:val="superscript"/>
        </w:rPr>
        <w:t>2</w:t>
      </w:r>
      <w:r w:rsidR="00A6407B">
        <w:rPr>
          <w:rFonts w:ascii="Avenir Next LT Pro" w:hAnsi="Avenir Next LT Pro"/>
          <w:b/>
          <w:bCs/>
          <w:sz w:val="20"/>
          <w:szCs w:val="20"/>
        </w:rPr>
        <w:t xml:space="preserve">, </w:t>
      </w:r>
      <w:r w:rsidR="00A6407B" w:rsidRPr="00A6407B">
        <w:rPr>
          <w:rFonts w:ascii="Avenir Next LT Pro" w:hAnsi="Avenir Next LT Pro"/>
          <w:b/>
          <w:bCs/>
          <w:sz w:val="20"/>
          <w:szCs w:val="20"/>
        </w:rPr>
        <w:t>Syarifuddin</w:t>
      </w:r>
      <w:r w:rsidR="00A6407B">
        <w:rPr>
          <w:rFonts w:ascii="Avenir Next LT Pro" w:hAnsi="Avenir Next LT Pro"/>
          <w:b/>
          <w:bCs/>
          <w:sz w:val="20"/>
          <w:szCs w:val="20"/>
          <w:vertAlign w:val="superscript"/>
        </w:rPr>
        <w:t>2</w:t>
      </w:r>
    </w:p>
    <w:p w14:paraId="766D087B" w14:textId="6458D1BC" w:rsidR="008F3A60" w:rsidRDefault="009A3BB6" w:rsidP="00B95F43">
      <w:pPr>
        <w:spacing w:after="0" w:line="240" w:lineRule="auto"/>
        <w:jc w:val="center"/>
        <w:rPr>
          <w:rFonts w:ascii="Avenir Next LT Pro" w:hAnsi="Avenir Next LT Pro"/>
          <w:sz w:val="20"/>
          <w:szCs w:val="20"/>
        </w:rPr>
      </w:pPr>
      <w:r>
        <w:rPr>
          <w:rFonts w:ascii="Avenir Next LT Pro" w:hAnsi="Avenir Next LT Pro"/>
          <w:sz w:val="20"/>
          <w:szCs w:val="20"/>
          <w:vertAlign w:val="superscript"/>
        </w:rPr>
        <w:t>1</w:t>
      </w:r>
      <w:r w:rsidR="008F3A60" w:rsidRPr="00837001">
        <w:rPr>
          <w:rFonts w:ascii="Avenir Next LT Pro" w:hAnsi="Avenir Next LT Pro"/>
          <w:sz w:val="20"/>
          <w:szCs w:val="20"/>
        </w:rPr>
        <w:t xml:space="preserve">Physics Education Department, Universitas Islam Negeri </w:t>
      </w:r>
      <w:proofErr w:type="spellStart"/>
      <w:r w:rsidR="008F3A60" w:rsidRPr="00837001">
        <w:rPr>
          <w:rFonts w:ascii="Avenir Next LT Pro" w:hAnsi="Avenir Next LT Pro"/>
          <w:sz w:val="20"/>
          <w:szCs w:val="20"/>
        </w:rPr>
        <w:t>Mataram</w:t>
      </w:r>
      <w:proofErr w:type="spellEnd"/>
      <w:r w:rsidR="008F3A60" w:rsidRPr="00837001">
        <w:rPr>
          <w:rFonts w:ascii="Avenir Next LT Pro" w:hAnsi="Avenir Next LT Pro"/>
          <w:sz w:val="20"/>
          <w:szCs w:val="20"/>
        </w:rPr>
        <w:t xml:space="preserve">, </w:t>
      </w:r>
      <w:proofErr w:type="spellStart"/>
      <w:r w:rsidR="008F3A60" w:rsidRPr="00837001">
        <w:rPr>
          <w:rFonts w:ascii="Avenir Next LT Pro" w:hAnsi="Avenir Next LT Pro"/>
          <w:sz w:val="20"/>
          <w:szCs w:val="20"/>
        </w:rPr>
        <w:t>Mataram</w:t>
      </w:r>
      <w:proofErr w:type="spellEnd"/>
      <w:r w:rsidR="008F3A60" w:rsidRPr="00837001">
        <w:rPr>
          <w:rFonts w:ascii="Avenir Next LT Pro" w:hAnsi="Avenir Next LT Pro"/>
          <w:sz w:val="20"/>
          <w:szCs w:val="20"/>
        </w:rPr>
        <w:t>, Indonesia</w:t>
      </w:r>
    </w:p>
    <w:p w14:paraId="553FE681" w14:textId="3FAA2A71" w:rsidR="009A3BB6" w:rsidRPr="00837001" w:rsidRDefault="009A3BB6" w:rsidP="00B95F43">
      <w:pPr>
        <w:spacing w:after="0" w:line="240" w:lineRule="auto"/>
        <w:jc w:val="center"/>
        <w:rPr>
          <w:rFonts w:ascii="Avenir Next LT Pro" w:hAnsi="Avenir Next LT Pro"/>
          <w:sz w:val="20"/>
          <w:szCs w:val="20"/>
        </w:rPr>
      </w:pPr>
      <w:r>
        <w:rPr>
          <w:rFonts w:ascii="Avenir Next LT Pro" w:hAnsi="Avenir Next LT Pro"/>
          <w:sz w:val="20"/>
          <w:szCs w:val="20"/>
          <w:vertAlign w:val="superscript"/>
        </w:rPr>
        <w:t>2</w:t>
      </w:r>
      <w:r w:rsidRPr="00837001">
        <w:rPr>
          <w:rFonts w:ascii="Avenir Next LT Pro" w:hAnsi="Avenir Next LT Pro"/>
          <w:sz w:val="20"/>
          <w:szCs w:val="20"/>
        </w:rPr>
        <w:t>Physics Education Department, Universitas</w:t>
      </w:r>
      <w:r w:rsidRPr="009A3BB6">
        <w:t xml:space="preserve"> </w:t>
      </w:r>
      <w:proofErr w:type="spellStart"/>
      <w:r w:rsidRPr="009A3BB6">
        <w:rPr>
          <w:rFonts w:ascii="Avenir Next LT Pro" w:hAnsi="Avenir Next LT Pro"/>
          <w:sz w:val="20"/>
          <w:szCs w:val="20"/>
        </w:rPr>
        <w:t>Halu</w:t>
      </w:r>
      <w:proofErr w:type="spellEnd"/>
      <w:r w:rsidRPr="009A3BB6">
        <w:rPr>
          <w:rFonts w:ascii="Avenir Next LT Pro" w:hAnsi="Avenir Next LT Pro"/>
          <w:sz w:val="20"/>
          <w:szCs w:val="20"/>
        </w:rPr>
        <w:t xml:space="preserve"> Oleo</w:t>
      </w:r>
      <w:r w:rsidRPr="00837001">
        <w:rPr>
          <w:rFonts w:ascii="Avenir Next LT Pro" w:hAnsi="Avenir Next LT Pro"/>
          <w:sz w:val="20"/>
          <w:szCs w:val="20"/>
        </w:rPr>
        <w:t xml:space="preserve">, </w:t>
      </w:r>
      <w:r w:rsidR="009D47BD">
        <w:rPr>
          <w:rFonts w:ascii="Avenir Next LT Pro" w:hAnsi="Avenir Next LT Pro"/>
          <w:sz w:val="20"/>
          <w:szCs w:val="20"/>
        </w:rPr>
        <w:t>Kendari</w:t>
      </w:r>
      <w:r w:rsidRPr="00837001">
        <w:rPr>
          <w:rFonts w:ascii="Avenir Next LT Pro" w:hAnsi="Avenir Next LT Pro"/>
          <w:sz w:val="20"/>
          <w:szCs w:val="20"/>
        </w:rPr>
        <w:t>, Indonesia</w:t>
      </w:r>
    </w:p>
    <w:p w14:paraId="5AD8CF51" w14:textId="380DDD50" w:rsidR="008F3A60" w:rsidRPr="00837001" w:rsidRDefault="00F0069F" w:rsidP="00B95F43">
      <w:pPr>
        <w:spacing w:before="120" w:after="0" w:line="240" w:lineRule="auto"/>
        <w:jc w:val="center"/>
        <w:rPr>
          <w:rFonts w:ascii="Avenir Next LT Pro" w:hAnsi="Avenir Next LT Pro"/>
          <w:i/>
          <w:iCs/>
          <w:sz w:val="20"/>
          <w:szCs w:val="20"/>
        </w:rPr>
      </w:pPr>
      <w:r w:rsidRPr="00837001">
        <w:rPr>
          <w:rFonts w:ascii="Avenir Next LT Pro" w:hAnsi="Avenir Next LT Pro"/>
          <w:i/>
          <w:iCs/>
          <w:sz w:val="20"/>
          <w:szCs w:val="20"/>
        </w:rPr>
        <w:t xml:space="preserve">*Corresponding Author: </w:t>
      </w:r>
      <w:hyperlink r:id="rId5" w:history="1">
        <w:r w:rsidR="001C0420" w:rsidRPr="00A7619A">
          <w:rPr>
            <w:rStyle w:val="Hyperlink"/>
            <w:rFonts w:ascii="Avenir Next LT Pro" w:hAnsi="Avenir Next LT Pro"/>
            <w:i/>
            <w:iCs/>
            <w:sz w:val="20"/>
            <w:szCs w:val="20"/>
          </w:rPr>
          <w:t>nevi.ernita@uinmataram.ac.id</w:t>
        </w:r>
      </w:hyperlink>
      <w:r w:rsidRPr="00837001">
        <w:rPr>
          <w:rFonts w:ascii="Avenir Next LT Pro" w:hAnsi="Avenir Next LT Pro"/>
          <w:i/>
          <w:iCs/>
          <w:sz w:val="20"/>
          <w:szCs w:val="20"/>
        </w:rPr>
        <w:t xml:space="preserve"> </w:t>
      </w:r>
    </w:p>
    <w:p w14:paraId="5D4EC16D" w14:textId="77777777" w:rsidR="00305B5A" w:rsidRPr="00837001" w:rsidRDefault="00305B5A" w:rsidP="00B95F43">
      <w:pPr>
        <w:spacing w:after="0" w:line="240" w:lineRule="auto"/>
        <w:jc w:val="center"/>
        <w:rPr>
          <w:rFonts w:ascii="Avenir Next LT Pro" w:hAnsi="Avenir Next LT Pro"/>
          <w:color w:val="0070C0"/>
          <w:sz w:val="20"/>
          <w:szCs w:val="20"/>
        </w:rPr>
      </w:pPr>
    </w:p>
    <w:p w14:paraId="3F02D7EA" w14:textId="5D172E0E" w:rsidR="006363CE" w:rsidRPr="00837001" w:rsidRDefault="006363CE" w:rsidP="00B95F43">
      <w:pPr>
        <w:spacing w:after="0" w:line="240" w:lineRule="auto"/>
        <w:jc w:val="center"/>
        <w:rPr>
          <w:rFonts w:ascii="Avenir Next LT Pro" w:hAnsi="Avenir Next LT Pro"/>
          <w:b/>
          <w:bCs/>
          <w:color w:val="0070C0"/>
          <w:sz w:val="20"/>
          <w:szCs w:val="20"/>
        </w:rPr>
      </w:pPr>
      <w:r w:rsidRPr="00837001">
        <w:rPr>
          <w:rFonts w:ascii="Avenir Next LT Pro" w:hAnsi="Avenir Next LT Pro"/>
          <w:b/>
          <w:bCs/>
          <w:color w:val="0070C0"/>
          <w:sz w:val="20"/>
          <w:szCs w:val="20"/>
        </w:rPr>
        <w:t>Abstract</w:t>
      </w:r>
    </w:p>
    <w:p w14:paraId="638FB364" w14:textId="2F88E9D3" w:rsidR="006363CE" w:rsidRPr="00837001" w:rsidRDefault="006363CE" w:rsidP="00B95F43">
      <w:pPr>
        <w:spacing w:after="0" w:line="240" w:lineRule="auto"/>
        <w:jc w:val="both"/>
        <w:rPr>
          <w:rFonts w:ascii="Avenir Next LT Pro" w:hAnsi="Avenir Next LT Pro"/>
          <w:sz w:val="20"/>
          <w:szCs w:val="20"/>
        </w:rPr>
      </w:pPr>
      <w:r w:rsidRPr="00837001">
        <w:rPr>
          <w:rFonts w:ascii="Avenir Next LT Pro" w:hAnsi="Avenir Next LT Pro"/>
          <w:sz w:val="20"/>
          <w:szCs w:val="20"/>
        </w:rPr>
        <w:t>This study investigates the effectiveness of participatory learning combined with a critical problem-solving approach on junior high school students' science process skills in the context of simple machines. Conducted with 61 students from Central Lombok, the research involved an experimental group (31 students) and a control group (30 students). The experimental group received participatory learning treatment with a critical problem-solving approach, while the control group was taught using traditional expository methods. The intervention included three sessions focusing on pulleys, inclined planes, and levers, each lasting 90 minutes. Students' science process skills were assessed across five aspects: preparing practical tools, assembling practical tools, reading measurements, collaborating with peers, and conveying information. The results revealed that the experimental group significantly outperformed the control group in all aspects of science process skills, with higher mean scores and lower variability. The findings indicate that participatory learning with a critical problem-solving approach is more effective than traditional methods in enhancing students' science process skills. This study's outcomes suggest that integrating interactive and student-</w:t>
      </w:r>
      <w:proofErr w:type="spellStart"/>
      <w:r w:rsidRPr="00837001">
        <w:rPr>
          <w:rFonts w:ascii="Avenir Next LT Pro" w:hAnsi="Avenir Next LT Pro"/>
          <w:sz w:val="20"/>
          <w:szCs w:val="20"/>
        </w:rPr>
        <w:t>centered</w:t>
      </w:r>
      <w:proofErr w:type="spellEnd"/>
      <w:r w:rsidRPr="00837001">
        <w:rPr>
          <w:rFonts w:ascii="Avenir Next LT Pro" w:hAnsi="Avenir Next LT Pro"/>
          <w:sz w:val="20"/>
          <w:szCs w:val="20"/>
        </w:rPr>
        <w:t xml:space="preserve"> approaches in science education can foster critical thinking, collaboration, and practical application of scientific concepts. The research contributes to the existing literature by demonstrating the benefits of combining participatory learning and critical problem-solving in teaching complex topics like simple machines. Future research should explore the long-term effects of these approaches and their applicability across various educational contexts and subjects.</w:t>
      </w:r>
    </w:p>
    <w:p w14:paraId="02792626" w14:textId="77777777" w:rsidR="008C07B5" w:rsidRPr="00837001" w:rsidRDefault="008C07B5" w:rsidP="00B95F43">
      <w:pPr>
        <w:spacing w:after="0" w:line="240" w:lineRule="auto"/>
        <w:jc w:val="both"/>
        <w:rPr>
          <w:rFonts w:ascii="Avenir Next LT Pro" w:hAnsi="Avenir Next LT Pro"/>
          <w:sz w:val="20"/>
          <w:szCs w:val="20"/>
        </w:rPr>
      </w:pPr>
    </w:p>
    <w:p w14:paraId="29490B7E" w14:textId="149C1A9C" w:rsidR="006363CE" w:rsidRPr="00837001" w:rsidRDefault="006363CE" w:rsidP="00B95F43">
      <w:pPr>
        <w:spacing w:after="0" w:line="240" w:lineRule="auto"/>
        <w:jc w:val="both"/>
        <w:rPr>
          <w:rFonts w:ascii="Avenir Next LT Pro" w:hAnsi="Avenir Next LT Pro"/>
          <w:sz w:val="20"/>
          <w:szCs w:val="20"/>
        </w:rPr>
      </w:pPr>
      <w:r w:rsidRPr="00837001">
        <w:rPr>
          <w:rFonts w:ascii="Avenir Next LT Pro" w:hAnsi="Avenir Next LT Pro"/>
          <w:b/>
          <w:bCs/>
          <w:color w:val="0070C0"/>
          <w:sz w:val="20"/>
          <w:szCs w:val="20"/>
        </w:rPr>
        <w:t>Keywords:</w:t>
      </w:r>
      <w:r w:rsidR="008F3A60" w:rsidRPr="00837001">
        <w:rPr>
          <w:rFonts w:ascii="Avenir Next LT Pro" w:hAnsi="Avenir Next LT Pro"/>
          <w:sz w:val="20"/>
          <w:szCs w:val="20"/>
        </w:rPr>
        <w:t xml:space="preserve"> </w:t>
      </w:r>
      <w:r w:rsidR="00232BE2" w:rsidRPr="00837001">
        <w:rPr>
          <w:rFonts w:ascii="Avenir Next LT Pro" w:hAnsi="Avenir Next LT Pro"/>
          <w:sz w:val="20"/>
          <w:szCs w:val="20"/>
        </w:rPr>
        <w:t xml:space="preserve">participatory learning, </w:t>
      </w:r>
      <w:r w:rsidR="001F6A4C" w:rsidRPr="00837001">
        <w:rPr>
          <w:rFonts w:ascii="Avenir Next LT Pro" w:hAnsi="Avenir Next LT Pro"/>
          <w:sz w:val="20"/>
          <w:szCs w:val="20"/>
        </w:rPr>
        <w:t xml:space="preserve">critical problem-solving, </w:t>
      </w:r>
      <w:r w:rsidR="00B70DF0" w:rsidRPr="00837001">
        <w:rPr>
          <w:rFonts w:ascii="Avenir Next LT Pro" w:hAnsi="Avenir Next LT Pro"/>
          <w:sz w:val="20"/>
          <w:szCs w:val="20"/>
        </w:rPr>
        <w:t xml:space="preserve">science process skills, physics education, </w:t>
      </w:r>
      <w:r w:rsidR="00924023" w:rsidRPr="00837001">
        <w:rPr>
          <w:rFonts w:ascii="Avenir Next LT Pro" w:hAnsi="Avenir Next LT Pro"/>
          <w:sz w:val="20"/>
          <w:szCs w:val="20"/>
        </w:rPr>
        <w:t>simple machines</w:t>
      </w:r>
      <w:r w:rsidR="00461BE0" w:rsidRPr="00837001">
        <w:rPr>
          <w:rFonts w:ascii="Avenir Next LT Pro" w:hAnsi="Avenir Next LT Pro"/>
          <w:sz w:val="20"/>
          <w:szCs w:val="20"/>
        </w:rPr>
        <w:t xml:space="preserve">. </w:t>
      </w:r>
    </w:p>
    <w:p w14:paraId="6A07CAC6" w14:textId="77777777" w:rsidR="008C07B5" w:rsidRPr="008C07B5" w:rsidRDefault="008C07B5" w:rsidP="00B95F43">
      <w:pPr>
        <w:spacing w:after="0" w:line="240" w:lineRule="auto"/>
        <w:jc w:val="both"/>
        <w:rPr>
          <w:rFonts w:ascii="Avenir Next LT Pro" w:hAnsi="Avenir Next LT Pro"/>
        </w:rPr>
      </w:pPr>
    </w:p>
    <w:p w14:paraId="0284E5EF" w14:textId="736CF6D4" w:rsidR="0046269A" w:rsidRPr="00837001" w:rsidRDefault="0046269A" w:rsidP="00B95F43">
      <w:pPr>
        <w:spacing w:after="0" w:line="240" w:lineRule="auto"/>
        <w:jc w:val="both"/>
        <w:rPr>
          <w:rFonts w:ascii="Avenir Next LT Pro" w:hAnsi="Avenir Next LT Pro"/>
          <w:b/>
          <w:bCs/>
          <w:color w:val="0070C0"/>
          <w:sz w:val="24"/>
          <w:szCs w:val="24"/>
        </w:rPr>
      </w:pPr>
      <w:r w:rsidRPr="00837001">
        <w:rPr>
          <w:rFonts w:ascii="Avenir Next LT Pro" w:hAnsi="Avenir Next LT Pro"/>
          <w:b/>
          <w:bCs/>
          <w:color w:val="0070C0"/>
          <w:sz w:val="24"/>
          <w:szCs w:val="24"/>
        </w:rPr>
        <w:t>INTRODUCTION</w:t>
      </w:r>
    </w:p>
    <w:p w14:paraId="2B487CD6" w14:textId="77777777" w:rsidR="005A153E" w:rsidRPr="00837001" w:rsidRDefault="005A153E"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The contemporary educational landscape is increasingly focusing on developing students' critical thinking and problem-solving skills, particularly in science education. Traditional teaching methods, which often emphasize rote memorization and passive learning, are being supplemented or replaced by more interactive and student-</w:t>
      </w:r>
      <w:proofErr w:type="spellStart"/>
      <w:r w:rsidRPr="00837001">
        <w:rPr>
          <w:rFonts w:ascii="Avenir Next LT Pro" w:hAnsi="Avenir Next LT Pro"/>
          <w:sz w:val="24"/>
          <w:szCs w:val="24"/>
        </w:rPr>
        <w:t>centered</w:t>
      </w:r>
      <w:proofErr w:type="spellEnd"/>
      <w:r w:rsidRPr="00837001">
        <w:rPr>
          <w:rFonts w:ascii="Avenir Next LT Pro" w:hAnsi="Avenir Next LT Pro"/>
          <w:sz w:val="24"/>
          <w:szCs w:val="24"/>
        </w:rPr>
        <w:t xml:space="preserve"> approaches. One such approach is participatory learning combined with a critical problem-solving methodology (Guzmán &amp; Juárez, 2024). This educational strategy engages students actively in the learning process, encouraging them to think critically, </w:t>
      </w:r>
      <w:proofErr w:type="spellStart"/>
      <w:r w:rsidRPr="00837001">
        <w:rPr>
          <w:rFonts w:ascii="Avenir Next LT Pro" w:hAnsi="Avenir Next LT Pro"/>
          <w:sz w:val="24"/>
          <w:szCs w:val="24"/>
        </w:rPr>
        <w:t>analyze</w:t>
      </w:r>
      <w:proofErr w:type="spellEnd"/>
      <w:r w:rsidRPr="00837001">
        <w:rPr>
          <w:rFonts w:ascii="Avenir Next LT Pro" w:hAnsi="Avenir Next LT Pro"/>
          <w:sz w:val="24"/>
          <w:szCs w:val="24"/>
        </w:rPr>
        <w:t xml:space="preserve"> problems, and develop solutions collaboratively (Guzmán &amp; Juárez, 2024; Gea et al., 2024).</w:t>
      </w:r>
    </w:p>
    <w:p w14:paraId="45193CB3" w14:textId="77777777" w:rsidR="005A153E" w:rsidRPr="00837001" w:rsidRDefault="005A153E"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Science process skills, essential for understanding and applying scientific concepts, include observing, classifying, measuring, predicting, hypothesizing, experimenting, and interpreting data (</w:t>
      </w:r>
      <w:proofErr w:type="spellStart"/>
      <w:r w:rsidRPr="00837001">
        <w:rPr>
          <w:rFonts w:ascii="Avenir Next LT Pro" w:hAnsi="Avenir Next LT Pro"/>
          <w:sz w:val="24"/>
          <w:szCs w:val="24"/>
        </w:rPr>
        <w:t>Ekawati</w:t>
      </w:r>
      <w:proofErr w:type="spellEnd"/>
      <w:r w:rsidRPr="00837001">
        <w:rPr>
          <w:rFonts w:ascii="Avenir Next LT Pro" w:hAnsi="Avenir Next LT Pro"/>
          <w:sz w:val="24"/>
          <w:szCs w:val="24"/>
        </w:rPr>
        <w:t xml:space="preserve"> et al., 2023). These skills are critical for students' success in science subjects and their future careers in science, technology, engineering, and mathematics (STEM) fields (Puspa et al., 2024). The development of these skills through effective teaching methods is crucial, especially in complex topics such as simple machines, which involve understanding mechanical concepts and applying them to solve real-world problems (Puspa et al., 2024).</w:t>
      </w:r>
    </w:p>
    <w:p w14:paraId="0B9ACDB5" w14:textId="77777777" w:rsidR="005A153E" w:rsidRPr="00837001" w:rsidRDefault="005A153E"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 xml:space="preserve">Participatory learning, as an instructional strategy, has been shown to significantly enhance students' engagement and learning outcomes in various </w:t>
      </w:r>
      <w:r w:rsidRPr="00837001">
        <w:rPr>
          <w:rFonts w:ascii="Avenir Next LT Pro" w:hAnsi="Avenir Next LT Pro"/>
          <w:sz w:val="24"/>
          <w:szCs w:val="24"/>
        </w:rPr>
        <w:lastRenderedPageBreak/>
        <w:t>educational contexts (</w:t>
      </w:r>
      <w:proofErr w:type="spellStart"/>
      <w:r w:rsidRPr="00837001">
        <w:rPr>
          <w:rFonts w:ascii="Avenir Next LT Pro" w:hAnsi="Avenir Next LT Pro"/>
          <w:sz w:val="24"/>
          <w:szCs w:val="24"/>
        </w:rPr>
        <w:t>Gumisirizah</w:t>
      </w:r>
      <w:proofErr w:type="spellEnd"/>
      <w:r w:rsidRPr="00837001">
        <w:rPr>
          <w:rFonts w:ascii="Avenir Next LT Pro" w:hAnsi="Avenir Next LT Pro"/>
          <w:sz w:val="24"/>
          <w:szCs w:val="24"/>
        </w:rPr>
        <w:t xml:space="preserve"> et al., 2024). It involves students actively in the learning process through activities such as group discussions, hands-on experiments, and collaborative problem-solving tasks (</w:t>
      </w:r>
      <w:proofErr w:type="spellStart"/>
      <w:r w:rsidRPr="00837001">
        <w:rPr>
          <w:rFonts w:ascii="Avenir Next LT Pro" w:hAnsi="Avenir Next LT Pro"/>
          <w:sz w:val="24"/>
          <w:szCs w:val="24"/>
        </w:rPr>
        <w:t>Barandovski</w:t>
      </w:r>
      <w:proofErr w:type="spellEnd"/>
      <w:r w:rsidRPr="00837001">
        <w:rPr>
          <w:rFonts w:ascii="Avenir Next LT Pro" w:hAnsi="Avenir Next LT Pro"/>
          <w:sz w:val="24"/>
          <w:szCs w:val="24"/>
        </w:rPr>
        <w:t xml:space="preserve"> et al., 2023). This approach not only increases students' motivation and interest in the subject matter but also helps them develop higher-order thinking skills, including analysis, synthesis, and evaluation (Jones, 2024).</w:t>
      </w:r>
    </w:p>
    <w:p w14:paraId="591E99DC" w14:textId="01C8B37F" w:rsidR="005A153E" w:rsidRPr="00837001" w:rsidRDefault="005A153E"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Critical problem-solving, on the other hand, is an instructional approach that challenges students to apply their knowledge and skills to solve complex, real-world problems (MacDonagh, 2023). This method encourages students to think critically and creatively, to question assumptions, and to develop and test hypotheses (MacDonagh, 2023). It is particularly effective in teaching science process skills, as it requires students to engage in activities such as observing, hypothesizing, experimenting, and interpreting data (Teichmann et al., 2024).</w:t>
      </w:r>
    </w:p>
    <w:p w14:paraId="269EB79D" w14:textId="77777777" w:rsidR="002E5E41" w:rsidRPr="00837001" w:rsidRDefault="002E5E41" w:rsidP="00B95F43">
      <w:pPr>
        <w:spacing w:after="0" w:line="240" w:lineRule="auto"/>
        <w:ind w:firstLine="567"/>
        <w:jc w:val="both"/>
        <w:rPr>
          <w:rFonts w:ascii="Avenir Next LT Pro" w:hAnsi="Avenir Next LT Pro"/>
          <w:sz w:val="24"/>
          <w:szCs w:val="24"/>
        </w:rPr>
      </w:pPr>
    </w:p>
    <w:p w14:paraId="0601821D" w14:textId="77777777" w:rsidR="005A153E" w:rsidRPr="00837001" w:rsidRDefault="005A153E" w:rsidP="00B95F43">
      <w:pPr>
        <w:spacing w:after="0" w:line="240" w:lineRule="auto"/>
        <w:jc w:val="both"/>
        <w:rPr>
          <w:rFonts w:ascii="Avenir Next LT Pro" w:hAnsi="Avenir Next LT Pro"/>
          <w:b/>
          <w:bCs/>
          <w:color w:val="0070C0"/>
          <w:sz w:val="24"/>
          <w:szCs w:val="24"/>
        </w:rPr>
      </w:pPr>
      <w:r w:rsidRPr="00837001">
        <w:rPr>
          <w:rFonts w:ascii="Avenir Next LT Pro" w:hAnsi="Avenir Next LT Pro"/>
          <w:b/>
          <w:bCs/>
          <w:color w:val="0070C0"/>
          <w:sz w:val="24"/>
          <w:szCs w:val="24"/>
        </w:rPr>
        <w:t>Research Problem</w:t>
      </w:r>
    </w:p>
    <w:p w14:paraId="3DBDF9BB" w14:textId="77777777" w:rsidR="005A153E" w:rsidRPr="00837001" w:rsidRDefault="005A153E"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Despite the recognized importance of science process skills, many students struggle to develop these skills effectively through traditional instructional methods (</w:t>
      </w:r>
      <w:proofErr w:type="spellStart"/>
      <w:r w:rsidRPr="00837001">
        <w:rPr>
          <w:rFonts w:ascii="Avenir Next LT Pro" w:hAnsi="Avenir Next LT Pro"/>
          <w:sz w:val="24"/>
          <w:szCs w:val="24"/>
        </w:rPr>
        <w:t>Barandovski</w:t>
      </w:r>
      <w:proofErr w:type="spellEnd"/>
      <w:r w:rsidRPr="00837001">
        <w:rPr>
          <w:rFonts w:ascii="Avenir Next LT Pro" w:hAnsi="Avenir Next LT Pro"/>
          <w:sz w:val="24"/>
          <w:szCs w:val="24"/>
        </w:rPr>
        <w:t xml:space="preserve"> et al., 2023). In many educational settings, particularly those that rely heavily on lecture-based teaching, students often become passive recipients of information rather than active participants in the learning process (Naz et al., 2024). This passivity can lead to a lack of engagement and a failure to develop essential critical thinking and problem-solving abilities (Naz et al., 2024).</w:t>
      </w:r>
    </w:p>
    <w:p w14:paraId="39778779" w14:textId="6F59B30D" w:rsidR="0046269A" w:rsidRPr="00837001" w:rsidRDefault="005A153E"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The integration of participatory learning and critical problem-solving approaches has the potential to address these challenges by making science learning more interactive, engaging, and effective (Jones, 2024). However, there is a need for empirical research to evaluate the effectiveness of these approaches in enhancing students' science process skills, particularly in the context of simple machines (Teichmann et al., 2024).</w:t>
      </w:r>
    </w:p>
    <w:p w14:paraId="65EDD717" w14:textId="77777777" w:rsidR="002E5E41" w:rsidRPr="00837001" w:rsidRDefault="002E5E41" w:rsidP="00B95F43">
      <w:pPr>
        <w:spacing w:after="0" w:line="240" w:lineRule="auto"/>
        <w:ind w:firstLine="567"/>
        <w:jc w:val="both"/>
        <w:rPr>
          <w:rFonts w:ascii="Avenir Next LT Pro" w:hAnsi="Avenir Next LT Pro"/>
          <w:sz w:val="24"/>
          <w:szCs w:val="24"/>
        </w:rPr>
      </w:pPr>
    </w:p>
    <w:p w14:paraId="4B2B7DDC" w14:textId="77777777" w:rsidR="005A153E" w:rsidRPr="00837001" w:rsidRDefault="005A153E" w:rsidP="00B95F43">
      <w:pPr>
        <w:spacing w:after="0" w:line="240" w:lineRule="auto"/>
        <w:jc w:val="both"/>
        <w:rPr>
          <w:rFonts w:ascii="Avenir Next LT Pro" w:hAnsi="Avenir Next LT Pro"/>
          <w:b/>
          <w:bCs/>
          <w:color w:val="0070C0"/>
          <w:sz w:val="24"/>
          <w:szCs w:val="24"/>
        </w:rPr>
      </w:pPr>
      <w:r w:rsidRPr="00837001">
        <w:rPr>
          <w:rFonts w:ascii="Avenir Next LT Pro" w:hAnsi="Avenir Next LT Pro"/>
          <w:b/>
          <w:bCs/>
          <w:color w:val="0070C0"/>
          <w:sz w:val="24"/>
          <w:szCs w:val="24"/>
        </w:rPr>
        <w:t>Research Objectives</w:t>
      </w:r>
    </w:p>
    <w:p w14:paraId="2D84E285" w14:textId="77777777" w:rsidR="005A153E" w:rsidRPr="00837001" w:rsidRDefault="005A153E"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The primary objective of this research is to investigate the effectiveness of participatory learning combined with a critical problem-solving approach in enhancing students' science process skills in the context of simple machines. This study aims to compare the effectiveness of this approach with traditional teaching methods: By comparing students' performance and skill development in classes using participatory learning versus traditional lecture-based methods, the research seeks to provide empirical evidence on the relative effectiveness of these approaches.</w:t>
      </w:r>
    </w:p>
    <w:p w14:paraId="64C64F11" w14:textId="77777777" w:rsidR="002E5E41" w:rsidRPr="00837001" w:rsidRDefault="002E5E41" w:rsidP="00B95F43">
      <w:pPr>
        <w:spacing w:after="0" w:line="240" w:lineRule="auto"/>
        <w:ind w:firstLine="567"/>
        <w:jc w:val="both"/>
        <w:rPr>
          <w:rFonts w:ascii="Avenir Next LT Pro" w:hAnsi="Avenir Next LT Pro"/>
          <w:sz w:val="24"/>
          <w:szCs w:val="24"/>
        </w:rPr>
      </w:pPr>
    </w:p>
    <w:p w14:paraId="4662B22A" w14:textId="77777777" w:rsidR="005A153E" w:rsidRPr="00837001" w:rsidRDefault="005A153E" w:rsidP="00B95F43">
      <w:pPr>
        <w:spacing w:after="0" w:line="240" w:lineRule="auto"/>
        <w:jc w:val="both"/>
        <w:rPr>
          <w:rFonts w:ascii="Avenir Next LT Pro" w:hAnsi="Avenir Next LT Pro"/>
          <w:b/>
          <w:bCs/>
          <w:color w:val="0070C0"/>
          <w:sz w:val="24"/>
          <w:szCs w:val="24"/>
        </w:rPr>
      </w:pPr>
      <w:r w:rsidRPr="00837001">
        <w:rPr>
          <w:rFonts w:ascii="Avenir Next LT Pro" w:hAnsi="Avenir Next LT Pro"/>
          <w:b/>
          <w:bCs/>
          <w:color w:val="0070C0"/>
          <w:sz w:val="24"/>
          <w:szCs w:val="24"/>
        </w:rPr>
        <w:t>Research Novelty</w:t>
      </w:r>
    </w:p>
    <w:p w14:paraId="07E7FB4E" w14:textId="77777777" w:rsidR="005A153E" w:rsidRPr="00837001" w:rsidRDefault="005A153E"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This study contributes to the existing body of knowledge by exploring a relatively under-researched area: the integration of participatory learning and critical problem-solving in the teaching of simple machines (</w:t>
      </w:r>
      <w:proofErr w:type="spellStart"/>
      <w:r w:rsidRPr="00837001">
        <w:rPr>
          <w:rFonts w:ascii="Avenir Next LT Pro" w:hAnsi="Avenir Next LT Pro"/>
          <w:sz w:val="24"/>
          <w:szCs w:val="24"/>
        </w:rPr>
        <w:t>Barandovski</w:t>
      </w:r>
      <w:proofErr w:type="spellEnd"/>
      <w:r w:rsidRPr="00837001">
        <w:rPr>
          <w:rFonts w:ascii="Avenir Next LT Pro" w:hAnsi="Avenir Next LT Pro"/>
          <w:sz w:val="24"/>
          <w:szCs w:val="24"/>
        </w:rPr>
        <w:t xml:space="preserve"> et al., 2023). While participatory learning and problem-based learning have been studied extensively in other contexts, their combined application in teaching simple machines presents a novel approach that could have significant implications for science education (MacDonagh, 2023).</w:t>
      </w:r>
    </w:p>
    <w:p w14:paraId="409AB39E" w14:textId="327F1267" w:rsidR="005A153E" w:rsidRPr="00837001" w:rsidRDefault="005A153E"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 xml:space="preserve">The novelty of this research lies in its dual focus on participatory learning and critical problem-solving. Previous studies have typically examined these strategies in isolation (Naz et al., 2024). This study, however, seeks to understand how these approaches can be integrated to provide a more comprehensive and effective educational experience (Teichmann et al., 2024). </w:t>
      </w:r>
    </w:p>
    <w:p w14:paraId="1FFB6F3F" w14:textId="0DB05432" w:rsidR="005A153E" w:rsidRPr="00837001" w:rsidRDefault="005A153E"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By addressing the gap in the literature regarding the combined use of participatory learning and critical problem-solving in science education, this research offers valuable insights into effective teaching practices that can enhance students' science process skills and overall learning outcomes (</w:t>
      </w:r>
      <w:proofErr w:type="spellStart"/>
      <w:r w:rsidRPr="00837001">
        <w:rPr>
          <w:rFonts w:ascii="Avenir Next LT Pro" w:hAnsi="Avenir Next LT Pro"/>
          <w:sz w:val="24"/>
          <w:szCs w:val="24"/>
        </w:rPr>
        <w:t>Barandovski</w:t>
      </w:r>
      <w:proofErr w:type="spellEnd"/>
      <w:r w:rsidRPr="00837001">
        <w:rPr>
          <w:rFonts w:ascii="Avenir Next LT Pro" w:hAnsi="Avenir Next LT Pro"/>
          <w:sz w:val="24"/>
          <w:szCs w:val="24"/>
        </w:rPr>
        <w:t xml:space="preserve"> et al., 2023). The findings of this study could inform the development of more effective instructional strategies and educational policies aimed at improving physics education and fostering students' interest and competence in physics fields.</w:t>
      </w:r>
    </w:p>
    <w:p w14:paraId="38E0CDC0" w14:textId="77777777" w:rsidR="00163DE6" w:rsidRPr="00837001" w:rsidRDefault="00163DE6" w:rsidP="00B95F43">
      <w:pPr>
        <w:spacing w:after="0" w:line="240" w:lineRule="auto"/>
        <w:jc w:val="both"/>
        <w:rPr>
          <w:rFonts w:ascii="Avenir Next LT Pro" w:hAnsi="Avenir Next LT Pro"/>
          <w:sz w:val="24"/>
          <w:szCs w:val="24"/>
        </w:rPr>
      </w:pPr>
    </w:p>
    <w:p w14:paraId="39518F0E" w14:textId="0C99A11E" w:rsidR="00163DE6" w:rsidRPr="00837001" w:rsidRDefault="00163DE6" w:rsidP="00B95F43">
      <w:pPr>
        <w:spacing w:after="0" w:line="240" w:lineRule="auto"/>
        <w:jc w:val="both"/>
        <w:rPr>
          <w:rFonts w:ascii="Avenir Next LT Pro" w:hAnsi="Avenir Next LT Pro"/>
          <w:b/>
          <w:bCs/>
          <w:color w:val="0070C0"/>
          <w:sz w:val="24"/>
          <w:szCs w:val="24"/>
        </w:rPr>
      </w:pPr>
      <w:r w:rsidRPr="00837001">
        <w:rPr>
          <w:rFonts w:ascii="Avenir Next LT Pro" w:hAnsi="Avenir Next LT Pro"/>
          <w:b/>
          <w:bCs/>
          <w:color w:val="0070C0"/>
          <w:sz w:val="24"/>
          <w:szCs w:val="24"/>
        </w:rPr>
        <w:t>METHODS</w:t>
      </w:r>
    </w:p>
    <w:p w14:paraId="4C4568B9" w14:textId="77777777" w:rsidR="0084520B" w:rsidRPr="00837001" w:rsidRDefault="0084520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This study employs an experimental research design involving two groups of junior high school students in Central Lombok: an experimental group and a control group. The experimental group received participatory learning treatment with a critical problem-solving approach, while the control group was taught using traditional (expository) methods that emphasized lectures during the experimental process. This comparative approach aimed to evaluate the effectiveness of participatory learning in enhancing students' science process skills when studying simple machines. The experimental intervention spanned three meetings, each focusing on a different type of simple machine: pulleys, inclined planes, and levers.</w:t>
      </w:r>
    </w:p>
    <w:p w14:paraId="0920CEF1" w14:textId="77777777" w:rsidR="0084520B" w:rsidRPr="00837001" w:rsidRDefault="0084520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 xml:space="preserve">The instructional sessions for both groups were designed to be comparable in terms of content and duration, with each session lasting approximately 90 minutes. During the first meeting, students in the experimental group engaged in a hands-on pulley experiment, which required them to assemble the apparatus, measure forces, and </w:t>
      </w:r>
      <w:proofErr w:type="spellStart"/>
      <w:r w:rsidRPr="00837001">
        <w:rPr>
          <w:rFonts w:ascii="Avenir Next LT Pro" w:hAnsi="Avenir Next LT Pro"/>
          <w:sz w:val="24"/>
          <w:szCs w:val="24"/>
        </w:rPr>
        <w:t>analyze</w:t>
      </w:r>
      <w:proofErr w:type="spellEnd"/>
      <w:r w:rsidRPr="00837001">
        <w:rPr>
          <w:rFonts w:ascii="Avenir Next LT Pro" w:hAnsi="Avenir Next LT Pro"/>
          <w:sz w:val="24"/>
          <w:szCs w:val="24"/>
        </w:rPr>
        <w:t xml:space="preserve"> the mechanical advantage of pulleys. In the second meeting, they explored inclined planes, focusing on the relationship between the angle of inclination and the effort required to move an object. The final meeting involved lever experiments, where students investigated the principles of leverage and equilibrium. The control group, meanwhile, received lectures on the same topics and observed demonstrations by the teacher without engaging in hands-on activities.</w:t>
      </w:r>
    </w:p>
    <w:p w14:paraId="08557F9B" w14:textId="77777777" w:rsidR="0084520B" w:rsidRPr="00837001" w:rsidRDefault="0084520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To assess the impact of the different instructional methods, science process skills were measured using performance assessment techniques during the learning process. Five key aspects of science process skills were evaluated: (A) skills in preparing practical tools, (B) accuracy in assembling practical tools, (C) accuracy in reading the spring balance scale, (D) ability to collaborate with group members, and (E) ability to convey information. Each aspect was scored on a three-point scale: 1 (not good), 2 (good), and 3 (very good). This structured assessment allowed for a detailed analysis of the students' abilities in performing scientific tasks and working collaboratively.</w:t>
      </w:r>
    </w:p>
    <w:p w14:paraId="3A92ABD2" w14:textId="77777777" w:rsidR="0084520B" w:rsidRPr="00837001" w:rsidRDefault="0084520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Data analysis was conducted using JASP-18.3 software to perform an Analysis of Variance (ANOVA) with a significance level of 0.05. This statistical method was chosen to determine whether there were significant differences in science process skills between the experimental and control groups. The primary hypothesis tested was that students in the experimental group would exhibit higher science process skills compared to those in the control group. Descriptive statistics were also used to provide an overview of the performance scores across the different aspects of science process skills.</w:t>
      </w:r>
    </w:p>
    <w:p w14:paraId="43A67E21" w14:textId="77777777" w:rsidR="0084520B" w:rsidRPr="00837001" w:rsidRDefault="0084520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The validity and reliability of the assessment instruments were ensured through a pilot study conducted prior to the main research. This pilot study involved a small group of students who were not part of the main sample. Feedback from the pilot study was used to refine the assessment tools and procedures, ensuring that they were both practical and effective in measuring the targeted skills. The results of the pilot study indicated that the instruments were reliable, with high inter-rater reliability scores, suggesting consistency in the assessments conducted by different evaluators.</w:t>
      </w:r>
    </w:p>
    <w:p w14:paraId="6E793994" w14:textId="59AC5785" w:rsidR="00163DE6" w:rsidRPr="00837001" w:rsidRDefault="0084520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Overall, the methodological approach of this study was designed to provide a robust comparison between participatory learning with a critical problem-solving approach and traditional expository teaching methods. By focusing on the practical application of concepts related to simple machines, the study aimed to capture the nuances of how different instructional strategies impact students' ability to develop and apply science process skills. The findings from this study are expected to contribute to the broader discourse on effective teaching practices in science education, particularly in enhancing students' engagement and skill development through interactive and participatory learning experiences.</w:t>
      </w:r>
    </w:p>
    <w:p w14:paraId="493AD401" w14:textId="77777777" w:rsidR="003E0C35" w:rsidRPr="00837001" w:rsidRDefault="003E0C35" w:rsidP="00B95F43">
      <w:pPr>
        <w:spacing w:after="0" w:line="240" w:lineRule="auto"/>
        <w:jc w:val="both"/>
        <w:rPr>
          <w:rFonts w:ascii="Avenir Next LT Pro" w:hAnsi="Avenir Next LT Pro"/>
          <w:sz w:val="24"/>
          <w:szCs w:val="24"/>
        </w:rPr>
      </w:pPr>
    </w:p>
    <w:p w14:paraId="40ED5FE8" w14:textId="13F62AFA" w:rsidR="00514EA8" w:rsidRPr="00837001" w:rsidRDefault="00514EA8" w:rsidP="00B95F43">
      <w:pPr>
        <w:spacing w:after="0" w:line="240" w:lineRule="auto"/>
        <w:jc w:val="both"/>
        <w:rPr>
          <w:rFonts w:ascii="Avenir Next LT Pro" w:hAnsi="Avenir Next LT Pro"/>
          <w:b/>
          <w:bCs/>
          <w:color w:val="0070C0"/>
          <w:sz w:val="24"/>
          <w:szCs w:val="24"/>
        </w:rPr>
      </w:pPr>
      <w:r w:rsidRPr="00837001">
        <w:rPr>
          <w:rFonts w:ascii="Avenir Next LT Pro" w:hAnsi="Avenir Next LT Pro"/>
          <w:b/>
          <w:bCs/>
          <w:color w:val="0070C0"/>
          <w:sz w:val="24"/>
          <w:szCs w:val="24"/>
        </w:rPr>
        <w:t>RESULTS AND DISCUSSION</w:t>
      </w:r>
    </w:p>
    <w:p w14:paraId="29745173" w14:textId="4BE358CB" w:rsidR="00514EA8" w:rsidRPr="00837001" w:rsidRDefault="00724938"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 xml:space="preserve">The data collected from the performance assessments of students in both the experimental and control groups were </w:t>
      </w:r>
      <w:proofErr w:type="spellStart"/>
      <w:r w:rsidRPr="00837001">
        <w:rPr>
          <w:rFonts w:ascii="Avenir Next LT Pro" w:hAnsi="Avenir Next LT Pro"/>
          <w:sz w:val="24"/>
          <w:szCs w:val="24"/>
        </w:rPr>
        <w:t>analyzed</w:t>
      </w:r>
      <w:proofErr w:type="spellEnd"/>
      <w:r w:rsidRPr="00837001">
        <w:rPr>
          <w:rFonts w:ascii="Avenir Next LT Pro" w:hAnsi="Avenir Next LT Pro"/>
          <w:sz w:val="24"/>
          <w:szCs w:val="24"/>
        </w:rPr>
        <w:t xml:space="preserve"> to determine the effectiveness of participatory learning with a critical problem-solving approach on students' science process skills in simple machines material. The descriptive statistics results are provide</w:t>
      </w:r>
      <w:r w:rsidR="00116C4E" w:rsidRPr="00837001">
        <w:rPr>
          <w:rFonts w:ascii="Avenir Next LT Pro" w:hAnsi="Avenir Next LT Pro"/>
          <w:sz w:val="24"/>
          <w:szCs w:val="24"/>
        </w:rPr>
        <w:t>d</w:t>
      </w:r>
      <w:r w:rsidRPr="00837001">
        <w:rPr>
          <w:rFonts w:ascii="Avenir Next LT Pro" w:hAnsi="Avenir Next LT Pro"/>
          <w:sz w:val="24"/>
          <w:szCs w:val="24"/>
        </w:rPr>
        <w:t xml:space="preserve"> in Table 1 and Figure 1.</w:t>
      </w:r>
    </w:p>
    <w:p w14:paraId="3D750CC7" w14:textId="77777777" w:rsidR="00724938" w:rsidRPr="00837001" w:rsidRDefault="00724938" w:rsidP="00B95F43">
      <w:pPr>
        <w:spacing w:after="0" w:line="240" w:lineRule="auto"/>
        <w:jc w:val="both"/>
        <w:rPr>
          <w:rFonts w:ascii="Avenir Next LT Pro" w:hAnsi="Avenir Next LT Pro"/>
          <w:sz w:val="24"/>
          <w:szCs w:val="24"/>
        </w:rPr>
      </w:pPr>
    </w:p>
    <w:p w14:paraId="26CA73E4" w14:textId="689B50B6" w:rsidR="00B5211A" w:rsidRPr="009C5E32" w:rsidRDefault="00514EA8" w:rsidP="00B95F43">
      <w:pPr>
        <w:spacing w:after="0" w:line="240" w:lineRule="auto"/>
        <w:jc w:val="center"/>
        <w:rPr>
          <w:rFonts w:ascii="Avenir Next LT Pro" w:hAnsi="Avenir Next LT Pro"/>
        </w:rPr>
      </w:pPr>
      <w:r w:rsidRPr="009C5E32">
        <w:rPr>
          <w:rFonts w:ascii="Avenir Next LT Pro" w:hAnsi="Avenir Next LT Pro"/>
          <w:b/>
          <w:bCs/>
          <w:color w:val="0070C0"/>
        </w:rPr>
        <w:t>Table 1.</w:t>
      </w:r>
      <w:r w:rsidRPr="009C5E32">
        <w:rPr>
          <w:rFonts w:ascii="Avenir Next LT Pro" w:hAnsi="Avenir Next LT Pro"/>
          <w:color w:val="0070C0"/>
        </w:rPr>
        <w:t xml:space="preserve"> </w:t>
      </w:r>
      <w:r w:rsidRPr="009C5E32">
        <w:rPr>
          <w:rFonts w:ascii="Avenir Next LT Pro" w:hAnsi="Avenir Next LT Pro"/>
        </w:rPr>
        <w:t>Descriptive statistics results of students' science process skills in simple machines material</w:t>
      </w:r>
    </w:p>
    <w:tbl>
      <w:tblPr>
        <w:tblStyle w:val="TableGrid"/>
        <w:tblW w:w="891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989"/>
        <w:gridCol w:w="725"/>
        <w:gridCol w:w="1260"/>
        <w:gridCol w:w="1117"/>
        <w:gridCol w:w="1134"/>
      </w:tblGrid>
      <w:tr w:rsidR="006336AC" w:rsidRPr="009C5E32" w14:paraId="64B5A543" w14:textId="77777777" w:rsidTr="002B4727">
        <w:trPr>
          <w:tblHeader/>
          <w:jc w:val="center"/>
        </w:trPr>
        <w:tc>
          <w:tcPr>
            <w:tcW w:w="2689" w:type="dxa"/>
            <w:tcBorders>
              <w:bottom w:val="single" w:sz="4" w:space="0" w:color="auto"/>
            </w:tcBorders>
            <w:shd w:val="clear" w:color="auto" w:fill="DAEEF3"/>
            <w:vAlign w:val="center"/>
          </w:tcPr>
          <w:p w14:paraId="08B15B89" w14:textId="66149286" w:rsidR="00514EA8" w:rsidRPr="009C5E32" w:rsidRDefault="00210BA1" w:rsidP="00B95F43">
            <w:pPr>
              <w:jc w:val="center"/>
              <w:rPr>
                <w:rFonts w:ascii="Avenir Next LT Pro" w:hAnsi="Avenir Next LT Pro" w:cs="Times New Roman"/>
                <w:b/>
                <w:bCs/>
              </w:rPr>
            </w:pPr>
            <w:r w:rsidRPr="009C5E32">
              <w:rPr>
                <w:rFonts w:ascii="Avenir Next LT Pro" w:hAnsi="Avenir Next LT Pro" w:cs="Times New Roman"/>
                <w:b/>
                <w:bCs/>
              </w:rPr>
              <w:t>Experimental</w:t>
            </w:r>
            <w:r w:rsidR="00514EA8" w:rsidRPr="009C5E32">
              <w:rPr>
                <w:rFonts w:ascii="Avenir Next LT Pro" w:hAnsi="Avenir Next LT Pro" w:cs="Times New Roman"/>
                <w:b/>
                <w:bCs/>
              </w:rPr>
              <w:t xml:space="preserve"> material</w:t>
            </w:r>
          </w:p>
        </w:tc>
        <w:tc>
          <w:tcPr>
            <w:tcW w:w="1989" w:type="dxa"/>
            <w:tcBorders>
              <w:bottom w:val="single" w:sz="4" w:space="0" w:color="auto"/>
            </w:tcBorders>
            <w:shd w:val="clear" w:color="auto" w:fill="DAEEF3"/>
            <w:vAlign w:val="center"/>
          </w:tcPr>
          <w:p w14:paraId="17115B68" w14:textId="020E5339" w:rsidR="00514EA8" w:rsidRPr="009C5E32" w:rsidRDefault="00514EA8" w:rsidP="00B95F43">
            <w:pPr>
              <w:rPr>
                <w:rFonts w:ascii="Avenir Next LT Pro" w:hAnsi="Avenir Next LT Pro" w:cs="Times New Roman"/>
                <w:b/>
                <w:bCs/>
              </w:rPr>
            </w:pPr>
            <w:r w:rsidRPr="009C5E32">
              <w:rPr>
                <w:rFonts w:ascii="Avenir Next LT Pro" w:hAnsi="Avenir Next LT Pro" w:cs="Times New Roman"/>
                <w:b/>
                <w:bCs/>
              </w:rPr>
              <w:t>Group</w:t>
            </w:r>
          </w:p>
        </w:tc>
        <w:tc>
          <w:tcPr>
            <w:tcW w:w="725" w:type="dxa"/>
            <w:tcBorders>
              <w:bottom w:val="single" w:sz="4" w:space="0" w:color="auto"/>
            </w:tcBorders>
            <w:shd w:val="clear" w:color="auto" w:fill="DAEEF3"/>
            <w:vAlign w:val="center"/>
          </w:tcPr>
          <w:p w14:paraId="0FEC66F2" w14:textId="1A86ADA8" w:rsidR="00514EA8" w:rsidRPr="009C5E32" w:rsidRDefault="00514EA8" w:rsidP="00B95F43">
            <w:pPr>
              <w:jc w:val="center"/>
              <w:rPr>
                <w:rFonts w:ascii="Avenir Next LT Pro" w:hAnsi="Avenir Next LT Pro" w:cs="Times New Roman"/>
                <w:b/>
                <w:bCs/>
              </w:rPr>
            </w:pPr>
            <w:r w:rsidRPr="009C5E32">
              <w:rPr>
                <w:rFonts w:ascii="Avenir Next LT Pro" w:eastAsia="Calibri" w:hAnsi="Avenir Next LT Pro" w:cs="Times New Roman"/>
                <w:b/>
                <w:bCs/>
                <w:kern w:val="0"/>
                <w14:ligatures w14:val="none"/>
              </w:rPr>
              <w:t>N</w:t>
            </w:r>
          </w:p>
        </w:tc>
        <w:tc>
          <w:tcPr>
            <w:tcW w:w="1260" w:type="dxa"/>
            <w:tcBorders>
              <w:bottom w:val="single" w:sz="4" w:space="0" w:color="auto"/>
            </w:tcBorders>
            <w:shd w:val="clear" w:color="auto" w:fill="DAEEF3"/>
            <w:vAlign w:val="center"/>
          </w:tcPr>
          <w:p w14:paraId="3EFBBB64" w14:textId="20FF2281" w:rsidR="00514EA8" w:rsidRPr="009C5E32" w:rsidRDefault="00514EA8" w:rsidP="00B95F43">
            <w:pPr>
              <w:jc w:val="center"/>
              <w:rPr>
                <w:rFonts w:ascii="Avenir Next LT Pro" w:hAnsi="Avenir Next LT Pro" w:cs="Times New Roman"/>
                <w:b/>
                <w:bCs/>
              </w:rPr>
            </w:pPr>
            <w:r w:rsidRPr="009C5E32">
              <w:rPr>
                <w:rFonts w:ascii="Avenir Next LT Pro" w:eastAsia="Calibri" w:hAnsi="Avenir Next LT Pro" w:cs="Times New Roman"/>
                <w:b/>
                <w:bCs/>
                <w:kern w:val="0"/>
                <w14:ligatures w14:val="none"/>
              </w:rPr>
              <w:t>Mean</w:t>
            </w:r>
          </w:p>
        </w:tc>
        <w:tc>
          <w:tcPr>
            <w:tcW w:w="1117" w:type="dxa"/>
            <w:tcBorders>
              <w:bottom w:val="single" w:sz="4" w:space="0" w:color="auto"/>
            </w:tcBorders>
            <w:shd w:val="clear" w:color="auto" w:fill="DAEEF3"/>
            <w:vAlign w:val="center"/>
          </w:tcPr>
          <w:p w14:paraId="3D5DDB4B" w14:textId="3DDCA824" w:rsidR="00514EA8" w:rsidRPr="009C5E32" w:rsidRDefault="00210BA1" w:rsidP="00B95F43">
            <w:pPr>
              <w:jc w:val="center"/>
              <w:rPr>
                <w:rFonts w:ascii="Avenir Next LT Pro" w:hAnsi="Avenir Next LT Pro" w:cs="Times New Roman"/>
                <w:b/>
                <w:bCs/>
              </w:rPr>
            </w:pPr>
            <w:r w:rsidRPr="009C5E32">
              <w:rPr>
                <w:rFonts w:ascii="Avenir Next LT Pro" w:eastAsia="Calibri" w:hAnsi="Avenir Next LT Pro" w:cs="Times New Roman"/>
                <w:b/>
                <w:bCs/>
                <w:kern w:val="0"/>
                <w14:ligatures w14:val="none"/>
              </w:rPr>
              <w:t>SE</w:t>
            </w:r>
          </w:p>
        </w:tc>
        <w:tc>
          <w:tcPr>
            <w:tcW w:w="1134" w:type="dxa"/>
            <w:tcBorders>
              <w:bottom w:val="single" w:sz="4" w:space="0" w:color="auto"/>
            </w:tcBorders>
            <w:shd w:val="clear" w:color="auto" w:fill="DAEEF3"/>
            <w:vAlign w:val="center"/>
          </w:tcPr>
          <w:p w14:paraId="4FFDDC6A" w14:textId="6F27D89B" w:rsidR="00514EA8" w:rsidRPr="009C5E32" w:rsidRDefault="00210BA1" w:rsidP="00B95F43">
            <w:pPr>
              <w:jc w:val="center"/>
              <w:rPr>
                <w:rFonts w:ascii="Avenir Next LT Pro" w:hAnsi="Avenir Next LT Pro" w:cs="Times New Roman"/>
                <w:b/>
                <w:bCs/>
              </w:rPr>
            </w:pPr>
            <w:r w:rsidRPr="009C5E32">
              <w:rPr>
                <w:rFonts w:ascii="Avenir Next LT Pro" w:eastAsia="Calibri" w:hAnsi="Avenir Next LT Pro" w:cs="Times New Roman"/>
                <w:b/>
                <w:bCs/>
                <w:kern w:val="0"/>
                <w14:ligatures w14:val="none"/>
              </w:rPr>
              <w:t>SD</w:t>
            </w:r>
          </w:p>
        </w:tc>
      </w:tr>
      <w:tr w:rsidR="00514EA8" w:rsidRPr="009C5E32" w14:paraId="4931051E" w14:textId="77777777" w:rsidTr="00554FEF">
        <w:trPr>
          <w:jc w:val="center"/>
        </w:trPr>
        <w:tc>
          <w:tcPr>
            <w:tcW w:w="2689" w:type="dxa"/>
            <w:tcBorders>
              <w:top w:val="single" w:sz="4" w:space="0" w:color="auto"/>
              <w:bottom w:val="nil"/>
            </w:tcBorders>
            <w:vAlign w:val="center"/>
          </w:tcPr>
          <w:p w14:paraId="2791ECB5" w14:textId="1B123F4E" w:rsidR="00514EA8" w:rsidRPr="009C5E32" w:rsidRDefault="00514EA8" w:rsidP="00B95F43">
            <w:pPr>
              <w:jc w:val="both"/>
              <w:rPr>
                <w:rFonts w:ascii="Avenir Next LT Pro" w:hAnsi="Avenir Next LT Pro"/>
              </w:rPr>
            </w:pPr>
            <w:r w:rsidRPr="009C5E32">
              <w:rPr>
                <w:rFonts w:ascii="Avenir Next LT Pro" w:eastAsia="Times New Roman" w:hAnsi="Avenir Next LT Pro" w:cs="Times New Roman"/>
                <w:kern w:val="0"/>
                <w:lang w:eastAsia="en-ID"/>
                <w14:ligatures w14:val="none"/>
              </w:rPr>
              <w:t>Pulleys</w:t>
            </w:r>
          </w:p>
        </w:tc>
        <w:tc>
          <w:tcPr>
            <w:tcW w:w="1989" w:type="dxa"/>
            <w:tcBorders>
              <w:top w:val="single" w:sz="4" w:space="0" w:color="auto"/>
              <w:bottom w:val="nil"/>
            </w:tcBorders>
            <w:vAlign w:val="center"/>
          </w:tcPr>
          <w:p w14:paraId="2432AEC7" w14:textId="4EC55D8E" w:rsidR="00514EA8" w:rsidRPr="009C5E32" w:rsidRDefault="00514EA8" w:rsidP="00B95F43">
            <w:pPr>
              <w:rPr>
                <w:rFonts w:ascii="Avenir Next LT Pro" w:hAnsi="Avenir Next LT Pro"/>
              </w:rPr>
            </w:pPr>
            <w:r w:rsidRPr="009C5E32">
              <w:rPr>
                <w:rFonts w:ascii="Avenir Next LT Pro" w:eastAsia="Times New Roman" w:hAnsi="Avenir Next LT Pro" w:cs="Times New Roman"/>
                <w:kern w:val="0"/>
                <w:lang w:eastAsia="en-ID"/>
                <w14:ligatures w14:val="none"/>
              </w:rPr>
              <w:t>Control</w:t>
            </w:r>
          </w:p>
        </w:tc>
        <w:tc>
          <w:tcPr>
            <w:tcW w:w="725" w:type="dxa"/>
            <w:tcBorders>
              <w:top w:val="single" w:sz="4" w:space="0" w:color="auto"/>
              <w:bottom w:val="nil"/>
            </w:tcBorders>
            <w:vAlign w:val="center"/>
          </w:tcPr>
          <w:p w14:paraId="4767C5A9" w14:textId="290C3B96"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30</w:t>
            </w:r>
          </w:p>
        </w:tc>
        <w:tc>
          <w:tcPr>
            <w:tcW w:w="1260" w:type="dxa"/>
            <w:tcBorders>
              <w:top w:val="single" w:sz="4" w:space="0" w:color="auto"/>
              <w:bottom w:val="nil"/>
            </w:tcBorders>
            <w:vAlign w:val="center"/>
          </w:tcPr>
          <w:p w14:paraId="67E81172" w14:textId="4CA15963"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11.033</w:t>
            </w:r>
          </w:p>
        </w:tc>
        <w:tc>
          <w:tcPr>
            <w:tcW w:w="1117" w:type="dxa"/>
            <w:tcBorders>
              <w:top w:val="single" w:sz="4" w:space="0" w:color="auto"/>
              <w:bottom w:val="nil"/>
            </w:tcBorders>
            <w:vAlign w:val="center"/>
          </w:tcPr>
          <w:p w14:paraId="668BB54A" w14:textId="49182F9C"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0.195</w:t>
            </w:r>
          </w:p>
        </w:tc>
        <w:tc>
          <w:tcPr>
            <w:tcW w:w="1134" w:type="dxa"/>
            <w:tcBorders>
              <w:top w:val="single" w:sz="4" w:space="0" w:color="auto"/>
              <w:bottom w:val="nil"/>
            </w:tcBorders>
            <w:vAlign w:val="center"/>
          </w:tcPr>
          <w:p w14:paraId="19AE27C9" w14:textId="7D67831B"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1.066</w:t>
            </w:r>
          </w:p>
        </w:tc>
      </w:tr>
      <w:tr w:rsidR="006336AC" w:rsidRPr="009C5E32" w14:paraId="629A60C8" w14:textId="77777777" w:rsidTr="00925D1F">
        <w:trPr>
          <w:jc w:val="center"/>
        </w:trPr>
        <w:tc>
          <w:tcPr>
            <w:tcW w:w="2689" w:type="dxa"/>
            <w:tcBorders>
              <w:top w:val="nil"/>
            </w:tcBorders>
            <w:shd w:val="clear" w:color="auto" w:fill="DAEEF3"/>
            <w:vAlign w:val="center"/>
          </w:tcPr>
          <w:p w14:paraId="789E2949" w14:textId="48277DA7" w:rsidR="00514EA8" w:rsidRPr="009C5E32" w:rsidRDefault="00514EA8" w:rsidP="00B95F43">
            <w:pPr>
              <w:jc w:val="both"/>
              <w:rPr>
                <w:rFonts w:ascii="Avenir Next LT Pro" w:hAnsi="Avenir Next LT Pro"/>
              </w:rPr>
            </w:pPr>
          </w:p>
        </w:tc>
        <w:tc>
          <w:tcPr>
            <w:tcW w:w="1989" w:type="dxa"/>
            <w:tcBorders>
              <w:top w:val="nil"/>
            </w:tcBorders>
            <w:shd w:val="clear" w:color="auto" w:fill="DAEEF3"/>
            <w:vAlign w:val="center"/>
          </w:tcPr>
          <w:p w14:paraId="66A2CA1B" w14:textId="04A30255" w:rsidR="00514EA8" w:rsidRPr="009C5E32" w:rsidRDefault="00514EA8" w:rsidP="00B95F43">
            <w:pPr>
              <w:rPr>
                <w:rFonts w:ascii="Avenir Next LT Pro" w:hAnsi="Avenir Next LT Pro"/>
              </w:rPr>
            </w:pPr>
            <w:r w:rsidRPr="009C5E32">
              <w:rPr>
                <w:rFonts w:ascii="Avenir Next LT Pro" w:eastAsia="Times New Roman" w:hAnsi="Avenir Next LT Pro" w:cs="Times New Roman"/>
                <w:kern w:val="0"/>
                <w:lang w:eastAsia="en-ID"/>
                <w14:ligatures w14:val="none"/>
              </w:rPr>
              <w:t>Experimental</w:t>
            </w:r>
          </w:p>
        </w:tc>
        <w:tc>
          <w:tcPr>
            <w:tcW w:w="725" w:type="dxa"/>
            <w:tcBorders>
              <w:top w:val="nil"/>
            </w:tcBorders>
            <w:shd w:val="clear" w:color="auto" w:fill="DAEEF3"/>
            <w:vAlign w:val="center"/>
          </w:tcPr>
          <w:p w14:paraId="0E305FEE" w14:textId="5556BE9C"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31</w:t>
            </w:r>
          </w:p>
        </w:tc>
        <w:tc>
          <w:tcPr>
            <w:tcW w:w="1260" w:type="dxa"/>
            <w:tcBorders>
              <w:top w:val="nil"/>
            </w:tcBorders>
            <w:shd w:val="clear" w:color="auto" w:fill="DAEEF3"/>
            <w:vAlign w:val="center"/>
          </w:tcPr>
          <w:p w14:paraId="02CA91E8" w14:textId="64EEFD3C"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11.677</w:t>
            </w:r>
          </w:p>
        </w:tc>
        <w:tc>
          <w:tcPr>
            <w:tcW w:w="1117" w:type="dxa"/>
            <w:tcBorders>
              <w:top w:val="nil"/>
            </w:tcBorders>
            <w:shd w:val="clear" w:color="auto" w:fill="DAEEF3"/>
            <w:vAlign w:val="center"/>
          </w:tcPr>
          <w:p w14:paraId="361FDD1C" w14:textId="3FE740C6"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0.243</w:t>
            </w:r>
          </w:p>
        </w:tc>
        <w:tc>
          <w:tcPr>
            <w:tcW w:w="1134" w:type="dxa"/>
            <w:tcBorders>
              <w:top w:val="nil"/>
            </w:tcBorders>
            <w:shd w:val="clear" w:color="auto" w:fill="DAEEF3"/>
            <w:vAlign w:val="center"/>
          </w:tcPr>
          <w:p w14:paraId="2DB77C66" w14:textId="071D96CD"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1.351</w:t>
            </w:r>
          </w:p>
        </w:tc>
      </w:tr>
      <w:tr w:rsidR="00514EA8" w:rsidRPr="009C5E32" w14:paraId="5979FA7A" w14:textId="77777777" w:rsidTr="00554FEF">
        <w:trPr>
          <w:jc w:val="center"/>
        </w:trPr>
        <w:tc>
          <w:tcPr>
            <w:tcW w:w="2689" w:type="dxa"/>
            <w:vAlign w:val="center"/>
          </w:tcPr>
          <w:p w14:paraId="577FD39D" w14:textId="4C9ECA96" w:rsidR="00514EA8" w:rsidRPr="009C5E32" w:rsidRDefault="00514EA8" w:rsidP="00B95F43">
            <w:pPr>
              <w:jc w:val="both"/>
              <w:rPr>
                <w:rFonts w:ascii="Avenir Next LT Pro" w:hAnsi="Avenir Next LT Pro"/>
              </w:rPr>
            </w:pPr>
            <w:r w:rsidRPr="009C5E32">
              <w:rPr>
                <w:rFonts w:ascii="Avenir Next LT Pro" w:eastAsia="Times New Roman" w:hAnsi="Avenir Next LT Pro" w:cs="Times New Roman"/>
                <w:kern w:val="0"/>
                <w:lang w:eastAsia="en-ID"/>
                <w14:ligatures w14:val="none"/>
              </w:rPr>
              <w:t>Inclined planes</w:t>
            </w:r>
          </w:p>
        </w:tc>
        <w:tc>
          <w:tcPr>
            <w:tcW w:w="1989" w:type="dxa"/>
            <w:vAlign w:val="center"/>
          </w:tcPr>
          <w:p w14:paraId="5DE60AA5" w14:textId="7C9D2003" w:rsidR="00514EA8" w:rsidRPr="009C5E32" w:rsidRDefault="00514EA8" w:rsidP="00B95F43">
            <w:pPr>
              <w:rPr>
                <w:rFonts w:ascii="Avenir Next LT Pro" w:hAnsi="Avenir Next LT Pro"/>
              </w:rPr>
            </w:pPr>
            <w:r w:rsidRPr="009C5E32">
              <w:rPr>
                <w:rFonts w:ascii="Avenir Next LT Pro" w:eastAsia="Times New Roman" w:hAnsi="Avenir Next LT Pro" w:cs="Times New Roman"/>
                <w:kern w:val="0"/>
                <w:lang w:eastAsia="en-ID"/>
                <w14:ligatures w14:val="none"/>
              </w:rPr>
              <w:t>Control</w:t>
            </w:r>
          </w:p>
        </w:tc>
        <w:tc>
          <w:tcPr>
            <w:tcW w:w="725" w:type="dxa"/>
            <w:vAlign w:val="center"/>
          </w:tcPr>
          <w:p w14:paraId="5D334943" w14:textId="7BDB4DB2"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30</w:t>
            </w:r>
          </w:p>
        </w:tc>
        <w:tc>
          <w:tcPr>
            <w:tcW w:w="1260" w:type="dxa"/>
            <w:vAlign w:val="center"/>
          </w:tcPr>
          <w:p w14:paraId="71F1D1C1" w14:textId="3F75D192"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11.533</w:t>
            </w:r>
          </w:p>
        </w:tc>
        <w:tc>
          <w:tcPr>
            <w:tcW w:w="1117" w:type="dxa"/>
            <w:vAlign w:val="center"/>
          </w:tcPr>
          <w:p w14:paraId="5EC7162F" w14:textId="25ACC240"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0.202</w:t>
            </w:r>
          </w:p>
        </w:tc>
        <w:tc>
          <w:tcPr>
            <w:tcW w:w="1134" w:type="dxa"/>
            <w:vAlign w:val="center"/>
          </w:tcPr>
          <w:p w14:paraId="018B734E" w14:textId="152EF0D8"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1.106</w:t>
            </w:r>
          </w:p>
        </w:tc>
      </w:tr>
      <w:tr w:rsidR="00925D1F" w:rsidRPr="009C5E32" w14:paraId="74A7EED1" w14:textId="77777777" w:rsidTr="00925D1F">
        <w:trPr>
          <w:jc w:val="center"/>
        </w:trPr>
        <w:tc>
          <w:tcPr>
            <w:tcW w:w="2689" w:type="dxa"/>
            <w:shd w:val="clear" w:color="auto" w:fill="DAEEF3"/>
            <w:vAlign w:val="center"/>
          </w:tcPr>
          <w:p w14:paraId="378AFD3A" w14:textId="2E0C41CA" w:rsidR="00514EA8" w:rsidRPr="009C5E32" w:rsidRDefault="00514EA8" w:rsidP="00B95F43">
            <w:pPr>
              <w:jc w:val="both"/>
              <w:rPr>
                <w:rFonts w:ascii="Avenir Next LT Pro" w:hAnsi="Avenir Next LT Pro"/>
              </w:rPr>
            </w:pPr>
          </w:p>
        </w:tc>
        <w:tc>
          <w:tcPr>
            <w:tcW w:w="1989" w:type="dxa"/>
            <w:shd w:val="clear" w:color="auto" w:fill="DAEEF3"/>
            <w:vAlign w:val="center"/>
          </w:tcPr>
          <w:p w14:paraId="6A216AEA" w14:textId="32E20894" w:rsidR="00514EA8" w:rsidRPr="009C5E32" w:rsidRDefault="00514EA8" w:rsidP="00B95F43">
            <w:pPr>
              <w:rPr>
                <w:rFonts w:ascii="Avenir Next LT Pro" w:hAnsi="Avenir Next LT Pro"/>
              </w:rPr>
            </w:pPr>
            <w:r w:rsidRPr="009C5E32">
              <w:rPr>
                <w:rFonts w:ascii="Avenir Next LT Pro" w:eastAsia="Times New Roman" w:hAnsi="Avenir Next LT Pro" w:cs="Times New Roman"/>
                <w:kern w:val="0"/>
                <w:lang w:eastAsia="en-ID"/>
                <w14:ligatures w14:val="none"/>
              </w:rPr>
              <w:t>Experimental</w:t>
            </w:r>
          </w:p>
        </w:tc>
        <w:tc>
          <w:tcPr>
            <w:tcW w:w="725" w:type="dxa"/>
            <w:shd w:val="clear" w:color="auto" w:fill="DAEEF3"/>
            <w:vAlign w:val="center"/>
          </w:tcPr>
          <w:p w14:paraId="1F0F92D6" w14:textId="27409C81"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31</w:t>
            </w:r>
          </w:p>
        </w:tc>
        <w:tc>
          <w:tcPr>
            <w:tcW w:w="1260" w:type="dxa"/>
            <w:shd w:val="clear" w:color="auto" w:fill="DAEEF3"/>
            <w:vAlign w:val="center"/>
          </w:tcPr>
          <w:p w14:paraId="1EB3F3B1" w14:textId="25F5A1A9"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12.806</w:t>
            </w:r>
          </w:p>
        </w:tc>
        <w:tc>
          <w:tcPr>
            <w:tcW w:w="1117" w:type="dxa"/>
            <w:shd w:val="clear" w:color="auto" w:fill="DAEEF3"/>
            <w:vAlign w:val="center"/>
          </w:tcPr>
          <w:p w14:paraId="387352C7" w14:textId="6FA4CE50"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0.135</w:t>
            </w:r>
          </w:p>
        </w:tc>
        <w:tc>
          <w:tcPr>
            <w:tcW w:w="1134" w:type="dxa"/>
            <w:shd w:val="clear" w:color="auto" w:fill="DAEEF3"/>
            <w:vAlign w:val="center"/>
          </w:tcPr>
          <w:p w14:paraId="0B4066AB" w14:textId="44DA550D"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0.749</w:t>
            </w:r>
          </w:p>
        </w:tc>
      </w:tr>
      <w:tr w:rsidR="00514EA8" w:rsidRPr="009C5E32" w14:paraId="01A2DA6D" w14:textId="77777777" w:rsidTr="00554FEF">
        <w:trPr>
          <w:jc w:val="center"/>
        </w:trPr>
        <w:tc>
          <w:tcPr>
            <w:tcW w:w="2689" w:type="dxa"/>
            <w:vAlign w:val="center"/>
          </w:tcPr>
          <w:p w14:paraId="6981BAA4" w14:textId="51CDAEAD" w:rsidR="00514EA8" w:rsidRPr="009C5E32" w:rsidRDefault="00514EA8" w:rsidP="00B95F43">
            <w:pPr>
              <w:jc w:val="both"/>
              <w:rPr>
                <w:rFonts w:ascii="Avenir Next LT Pro" w:hAnsi="Avenir Next LT Pro"/>
              </w:rPr>
            </w:pPr>
            <w:r w:rsidRPr="009C5E32">
              <w:rPr>
                <w:rFonts w:ascii="Avenir Next LT Pro" w:eastAsia="Times New Roman" w:hAnsi="Avenir Next LT Pro" w:cs="Times New Roman"/>
                <w:kern w:val="0"/>
                <w:lang w:eastAsia="en-ID"/>
                <w14:ligatures w14:val="none"/>
              </w:rPr>
              <w:t>Levers</w:t>
            </w:r>
          </w:p>
        </w:tc>
        <w:tc>
          <w:tcPr>
            <w:tcW w:w="1989" w:type="dxa"/>
            <w:vAlign w:val="center"/>
          </w:tcPr>
          <w:p w14:paraId="30E20304" w14:textId="246FE86A" w:rsidR="00514EA8" w:rsidRPr="009C5E32" w:rsidRDefault="00514EA8" w:rsidP="00B95F43">
            <w:pPr>
              <w:rPr>
                <w:rFonts w:ascii="Avenir Next LT Pro" w:hAnsi="Avenir Next LT Pro"/>
              </w:rPr>
            </w:pPr>
            <w:r w:rsidRPr="009C5E32">
              <w:rPr>
                <w:rFonts w:ascii="Avenir Next LT Pro" w:eastAsia="Times New Roman" w:hAnsi="Avenir Next LT Pro" w:cs="Times New Roman"/>
                <w:kern w:val="0"/>
                <w:lang w:eastAsia="en-ID"/>
                <w14:ligatures w14:val="none"/>
              </w:rPr>
              <w:t>Control</w:t>
            </w:r>
          </w:p>
        </w:tc>
        <w:tc>
          <w:tcPr>
            <w:tcW w:w="725" w:type="dxa"/>
            <w:vAlign w:val="center"/>
          </w:tcPr>
          <w:p w14:paraId="699A7755" w14:textId="74C0B7A2"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30</w:t>
            </w:r>
          </w:p>
        </w:tc>
        <w:tc>
          <w:tcPr>
            <w:tcW w:w="1260" w:type="dxa"/>
            <w:vAlign w:val="center"/>
          </w:tcPr>
          <w:p w14:paraId="0EADB72A" w14:textId="5B479F25"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11.533</w:t>
            </w:r>
          </w:p>
        </w:tc>
        <w:tc>
          <w:tcPr>
            <w:tcW w:w="1117" w:type="dxa"/>
            <w:vAlign w:val="center"/>
          </w:tcPr>
          <w:p w14:paraId="743DFBDD" w14:textId="208BD4B1"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0.202</w:t>
            </w:r>
          </w:p>
        </w:tc>
        <w:tc>
          <w:tcPr>
            <w:tcW w:w="1134" w:type="dxa"/>
            <w:vAlign w:val="center"/>
          </w:tcPr>
          <w:p w14:paraId="228AE467" w14:textId="06FDB19D"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1.106</w:t>
            </w:r>
          </w:p>
        </w:tc>
      </w:tr>
      <w:tr w:rsidR="00925D1F" w:rsidRPr="009C5E32" w14:paraId="1667CE07" w14:textId="77777777" w:rsidTr="00925D1F">
        <w:trPr>
          <w:jc w:val="center"/>
        </w:trPr>
        <w:tc>
          <w:tcPr>
            <w:tcW w:w="2689" w:type="dxa"/>
            <w:tcBorders>
              <w:bottom w:val="nil"/>
            </w:tcBorders>
            <w:shd w:val="clear" w:color="auto" w:fill="DAEEF3"/>
            <w:vAlign w:val="center"/>
          </w:tcPr>
          <w:p w14:paraId="5FA243C3" w14:textId="2744BF39" w:rsidR="00514EA8" w:rsidRPr="009C5E32" w:rsidRDefault="00514EA8" w:rsidP="00B95F43">
            <w:pPr>
              <w:jc w:val="both"/>
              <w:rPr>
                <w:rFonts w:ascii="Avenir Next LT Pro" w:hAnsi="Avenir Next LT Pro"/>
              </w:rPr>
            </w:pPr>
          </w:p>
        </w:tc>
        <w:tc>
          <w:tcPr>
            <w:tcW w:w="1989" w:type="dxa"/>
            <w:tcBorders>
              <w:bottom w:val="nil"/>
            </w:tcBorders>
            <w:shd w:val="clear" w:color="auto" w:fill="DAEEF3"/>
            <w:vAlign w:val="center"/>
          </w:tcPr>
          <w:p w14:paraId="6F0E8A92" w14:textId="7433EB65" w:rsidR="00514EA8" w:rsidRPr="009C5E32" w:rsidRDefault="00514EA8" w:rsidP="00B95F43">
            <w:pPr>
              <w:rPr>
                <w:rFonts w:ascii="Avenir Next LT Pro" w:hAnsi="Avenir Next LT Pro"/>
              </w:rPr>
            </w:pPr>
            <w:r w:rsidRPr="009C5E32">
              <w:rPr>
                <w:rFonts w:ascii="Avenir Next LT Pro" w:eastAsia="Times New Roman" w:hAnsi="Avenir Next LT Pro" w:cs="Times New Roman"/>
                <w:kern w:val="0"/>
                <w:lang w:eastAsia="en-ID"/>
                <w14:ligatures w14:val="none"/>
              </w:rPr>
              <w:t>Experimental</w:t>
            </w:r>
          </w:p>
        </w:tc>
        <w:tc>
          <w:tcPr>
            <w:tcW w:w="725" w:type="dxa"/>
            <w:tcBorders>
              <w:bottom w:val="nil"/>
            </w:tcBorders>
            <w:shd w:val="clear" w:color="auto" w:fill="DAEEF3"/>
            <w:vAlign w:val="center"/>
          </w:tcPr>
          <w:p w14:paraId="1BE6FC93" w14:textId="2051B997"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31</w:t>
            </w:r>
          </w:p>
        </w:tc>
        <w:tc>
          <w:tcPr>
            <w:tcW w:w="1260" w:type="dxa"/>
            <w:tcBorders>
              <w:bottom w:val="nil"/>
            </w:tcBorders>
            <w:shd w:val="clear" w:color="auto" w:fill="DAEEF3"/>
            <w:vAlign w:val="center"/>
          </w:tcPr>
          <w:p w14:paraId="144E1B6F" w14:textId="65B1249B"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13.258</w:t>
            </w:r>
          </w:p>
        </w:tc>
        <w:tc>
          <w:tcPr>
            <w:tcW w:w="1117" w:type="dxa"/>
            <w:tcBorders>
              <w:bottom w:val="nil"/>
            </w:tcBorders>
            <w:shd w:val="clear" w:color="auto" w:fill="DAEEF3"/>
            <w:vAlign w:val="center"/>
          </w:tcPr>
          <w:p w14:paraId="1EAC8D67" w14:textId="2F6B4712"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0.080</w:t>
            </w:r>
          </w:p>
        </w:tc>
        <w:tc>
          <w:tcPr>
            <w:tcW w:w="1134" w:type="dxa"/>
            <w:tcBorders>
              <w:bottom w:val="nil"/>
            </w:tcBorders>
            <w:shd w:val="clear" w:color="auto" w:fill="DAEEF3"/>
            <w:vAlign w:val="center"/>
          </w:tcPr>
          <w:p w14:paraId="6B2CEED0" w14:textId="4D937800"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0.445</w:t>
            </w:r>
          </w:p>
        </w:tc>
      </w:tr>
      <w:tr w:rsidR="00514EA8" w:rsidRPr="009C5E32" w14:paraId="5899F5A5" w14:textId="77777777" w:rsidTr="00925D1F">
        <w:trPr>
          <w:jc w:val="center"/>
        </w:trPr>
        <w:tc>
          <w:tcPr>
            <w:tcW w:w="2689" w:type="dxa"/>
            <w:tcBorders>
              <w:top w:val="nil"/>
              <w:bottom w:val="nil"/>
            </w:tcBorders>
            <w:vAlign w:val="center"/>
          </w:tcPr>
          <w:p w14:paraId="2757AD8C" w14:textId="2094A91B" w:rsidR="00514EA8" w:rsidRPr="009C5E32" w:rsidRDefault="00514EA8" w:rsidP="00B95F43">
            <w:pPr>
              <w:jc w:val="both"/>
              <w:rPr>
                <w:rFonts w:ascii="Avenir Next LT Pro" w:hAnsi="Avenir Next LT Pro"/>
              </w:rPr>
            </w:pPr>
            <w:r w:rsidRPr="009C5E32">
              <w:rPr>
                <w:rFonts w:ascii="Avenir Next LT Pro" w:eastAsia="Times New Roman" w:hAnsi="Avenir Next LT Pro" w:cs="Times New Roman"/>
                <w:kern w:val="0"/>
                <w:lang w:eastAsia="en-ID"/>
                <w14:ligatures w14:val="none"/>
              </w:rPr>
              <w:t>Average</w:t>
            </w:r>
          </w:p>
        </w:tc>
        <w:tc>
          <w:tcPr>
            <w:tcW w:w="1989" w:type="dxa"/>
            <w:tcBorders>
              <w:top w:val="nil"/>
              <w:bottom w:val="nil"/>
            </w:tcBorders>
            <w:vAlign w:val="center"/>
          </w:tcPr>
          <w:p w14:paraId="69A9A6E1" w14:textId="06DA6713" w:rsidR="00514EA8" w:rsidRPr="009C5E32" w:rsidRDefault="00514EA8" w:rsidP="00B95F43">
            <w:pPr>
              <w:rPr>
                <w:rFonts w:ascii="Avenir Next LT Pro" w:hAnsi="Avenir Next LT Pro"/>
              </w:rPr>
            </w:pPr>
            <w:r w:rsidRPr="009C5E32">
              <w:rPr>
                <w:rFonts w:ascii="Avenir Next LT Pro" w:eastAsia="Times New Roman" w:hAnsi="Avenir Next LT Pro" w:cs="Times New Roman"/>
                <w:kern w:val="0"/>
                <w:lang w:eastAsia="en-ID"/>
                <w14:ligatures w14:val="none"/>
              </w:rPr>
              <w:t>Control</w:t>
            </w:r>
          </w:p>
        </w:tc>
        <w:tc>
          <w:tcPr>
            <w:tcW w:w="725" w:type="dxa"/>
            <w:tcBorders>
              <w:top w:val="nil"/>
              <w:bottom w:val="nil"/>
            </w:tcBorders>
            <w:vAlign w:val="center"/>
          </w:tcPr>
          <w:p w14:paraId="2C73E978" w14:textId="7A499385"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30</w:t>
            </w:r>
          </w:p>
        </w:tc>
        <w:tc>
          <w:tcPr>
            <w:tcW w:w="1260" w:type="dxa"/>
            <w:tcBorders>
              <w:top w:val="nil"/>
              <w:bottom w:val="nil"/>
            </w:tcBorders>
            <w:vAlign w:val="center"/>
          </w:tcPr>
          <w:p w14:paraId="1237812E" w14:textId="57D64A2A"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11.366</w:t>
            </w:r>
          </w:p>
        </w:tc>
        <w:tc>
          <w:tcPr>
            <w:tcW w:w="1117" w:type="dxa"/>
            <w:tcBorders>
              <w:top w:val="nil"/>
              <w:bottom w:val="nil"/>
            </w:tcBorders>
            <w:vAlign w:val="center"/>
          </w:tcPr>
          <w:p w14:paraId="4F184594" w14:textId="41923CEE"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0.173</w:t>
            </w:r>
          </w:p>
        </w:tc>
        <w:tc>
          <w:tcPr>
            <w:tcW w:w="1134" w:type="dxa"/>
            <w:tcBorders>
              <w:top w:val="nil"/>
              <w:bottom w:val="nil"/>
            </w:tcBorders>
            <w:vAlign w:val="center"/>
          </w:tcPr>
          <w:p w14:paraId="6939348B" w14:textId="2D6F7909"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0.945</w:t>
            </w:r>
          </w:p>
        </w:tc>
      </w:tr>
      <w:tr w:rsidR="00925D1F" w:rsidRPr="009C5E32" w14:paraId="6BFF12D4" w14:textId="77777777" w:rsidTr="00925D1F">
        <w:trPr>
          <w:jc w:val="center"/>
        </w:trPr>
        <w:tc>
          <w:tcPr>
            <w:tcW w:w="2689" w:type="dxa"/>
            <w:tcBorders>
              <w:top w:val="nil"/>
            </w:tcBorders>
            <w:shd w:val="clear" w:color="auto" w:fill="DAEEF3"/>
            <w:vAlign w:val="center"/>
          </w:tcPr>
          <w:p w14:paraId="66388ED9" w14:textId="1368A335" w:rsidR="00514EA8" w:rsidRPr="009C5E32" w:rsidRDefault="00514EA8" w:rsidP="00B95F43">
            <w:pPr>
              <w:jc w:val="both"/>
              <w:rPr>
                <w:rFonts w:ascii="Avenir Next LT Pro" w:hAnsi="Avenir Next LT Pro"/>
              </w:rPr>
            </w:pPr>
          </w:p>
        </w:tc>
        <w:tc>
          <w:tcPr>
            <w:tcW w:w="1989" w:type="dxa"/>
            <w:tcBorders>
              <w:top w:val="nil"/>
            </w:tcBorders>
            <w:shd w:val="clear" w:color="auto" w:fill="DAEEF3"/>
            <w:vAlign w:val="center"/>
          </w:tcPr>
          <w:p w14:paraId="22CD0C47" w14:textId="03B0EE3E" w:rsidR="00514EA8" w:rsidRPr="009C5E32" w:rsidRDefault="00514EA8" w:rsidP="00B95F43">
            <w:pPr>
              <w:rPr>
                <w:rFonts w:ascii="Avenir Next LT Pro" w:hAnsi="Avenir Next LT Pro"/>
              </w:rPr>
            </w:pPr>
            <w:r w:rsidRPr="009C5E32">
              <w:rPr>
                <w:rFonts w:ascii="Avenir Next LT Pro" w:eastAsia="Times New Roman" w:hAnsi="Avenir Next LT Pro" w:cs="Times New Roman"/>
                <w:kern w:val="0"/>
                <w:lang w:eastAsia="en-ID"/>
                <w14:ligatures w14:val="none"/>
              </w:rPr>
              <w:t>Experimental</w:t>
            </w:r>
          </w:p>
        </w:tc>
        <w:tc>
          <w:tcPr>
            <w:tcW w:w="725" w:type="dxa"/>
            <w:tcBorders>
              <w:top w:val="nil"/>
            </w:tcBorders>
            <w:shd w:val="clear" w:color="auto" w:fill="DAEEF3"/>
            <w:vAlign w:val="center"/>
          </w:tcPr>
          <w:p w14:paraId="2F5CB36B" w14:textId="73AD41F6"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31</w:t>
            </w:r>
          </w:p>
        </w:tc>
        <w:tc>
          <w:tcPr>
            <w:tcW w:w="1260" w:type="dxa"/>
            <w:tcBorders>
              <w:top w:val="nil"/>
            </w:tcBorders>
            <w:shd w:val="clear" w:color="auto" w:fill="DAEEF3"/>
            <w:vAlign w:val="center"/>
          </w:tcPr>
          <w:p w14:paraId="60264906" w14:textId="52E810C3"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12.582</w:t>
            </w:r>
          </w:p>
        </w:tc>
        <w:tc>
          <w:tcPr>
            <w:tcW w:w="1117" w:type="dxa"/>
            <w:tcBorders>
              <w:top w:val="nil"/>
            </w:tcBorders>
            <w:shd w:val="clear" w:color="auto" w:fill="DAEEF3"/>
            <w:vAlign w:val="center"/>
          </w:tcPr>
          <w:p w14:paraId="28A7B256" w14:textId="22384390"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0.130</w:t>
            </w:r>
          </w:p>
        </w:tc>
        <w:tc>
          <w:tcPr>
            <w:tcW w:w="1134" w:type="dxa"/>
            <w:tcBorders>
              <w:top w:val="nil"/>
            </w:tcBorders>
            <w:shd w:val="clear" w:color="auto" w:fill="DAEEF3"/>
            <w:vAlign w:val="center"/>
          </w:tcPr>
          <w:p w14:paraId="1C15D7CE" w14:textId="28830A5D" w:rsidR="00514EA8" w:rsidRPr="009C5E32" w:rsidRDefault="00514EA8"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0.726</w:t>
            </w:r>
          </w:p>
        </w:tc>
      </w:tr>
    </w:tbl>
    <w:p w14:paraId="1CA7090E" w14:textId="77777777" w:rsidR="00514EA8" w:rsidRPr="00837001" w:rsidRDefault="00514EA8" w:rsidP="00B95F43">
      <w:pPr>
        <w:spacing w:after="0" w:line="240" w:lineRule="auto"/>
        <w:jc w:val="both"/>
        <w:rPr>
          <w:rFonts w:ascii="Avenir Next LT Pro" w:hAnsi="Avenir Next LT Pro"/>
          <w:sz w:val="24"/>
          <w:szCs w:val="24"/>
        </w:rPr>
      </w:pPr>
    </w:p>
    <w:p w14:paraId="3131EF12" w14:textId="77777777" w:rsidR="001E11A9" w:rsidRPr="00837001" w:rsidRDefault="001E11A9"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Table 1 presents the descriptive statistics of students' science process skills in simple machines material for both the control and experimental groups. The results indicate that the experimental group, which was taught using participatory learning with a critical problem-solving approach, consistently outperformed the control group across all three types of simple machines: pulleys, inclined planes, and levers. For the pulleys experiment, the experimental group had a mean score of 11.677 compared to 11.033 in the control group, indicating a notable improvement in performance. Similarly, for the inclined planes and levers experiments, the experimental group achieved mean scores of 12.806 and 13.258, respectively, while the control group scored 11.533 for both experiments. The higher mean scores in the experimental group suggest that the participatory learning approach effectively enhanced students' abilities in preparing and assembling practical tools, reading measurements accurately, collaborating with peers, and conveying information.</w:t>
      </w:r>
    </w:p>
    <w:p w14:paraId="55181AB4" w14:textId="32A64F03" w:rsidR="00514EA8" w:rsidRPr="00837001" w:rsidRDefault="001E11A9"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The standard deviation and standard error of the mean in Table 1 also provide insights into the consistency of the students' performance within each group. The experimental group demonstrated lower standard deviations and standard errors, particularly in the inclined planes and levers experiments, indicating more consistent performance among students. For instance, the standard deviation for the experimental group in the levers experiment was 0.445, significantly lower than the control group's 1.106. This consistency suggests that the participatory learning approach not only improved average performance but also reduced variability in students' science process skills, potentially due to the hands-on, collaborative nature of the learning activities that ensured all students were actively engaged and supported in their learning processes. These findings underscore the effectiveness of participatory learning combined with critical problem-solving in fostering both higher and more uniform levels of science process skills among students.</w:t>
      </w:r>
    </w:p>
    <w:p w14:paraId="360F2E5C" w14:textId="77777777" w:rsidR="001E11A9" w:rsidRPr="00837001" w:rsidRDefault="001E11A9" w:rsidP="00B95F43">
      <w:pPr>
        <w:spacing w:after="0" w:line="240" w:lineRule="auto"/>
        <w:jc w:val="both"/>
        <w:rPr>
          <w:rFonts w:ascii="Avenir Next LT Pro" w:hAnsi="Avenir Next LT Pro"/>
          <w:sz w:val="24"/>
          <w:szCs w:val="24"/>
        </w:rPr>
      </w:pPr>
    </w:p>
    <w:p w14:paraId="7BB65B8C" w14:textId="728F20D3" w:rsidR="00216733" w:rsidRPr="00837001" w:rsidRDefault="00216733" w:rsidP="00B95F43">
      <w:pPr>
        <w:spacing w:after="108" w:line="240" w:lineRule="auto"/>
        <w:jc w:val="center"/>
        <w:rPr>
          <w:rFonts w:ascii="Avenir Next LT Pro" w:eastAsia="Times New Roman" w:hAnsi="Avenir Next LT Pro" w:cs="Times New Roman"/>
          <w:kern w:val="0"/>
          <w:sz w:val="24"/>
          <w:szCs w:val="24"/>
          <w:lang w:eastAsia="en-ID"/>
          <w14:ligatures w14:val="none"/>
        </w:rPr>
      </w:pPr>
      <w:r w:rsidRPr="00837001">
        <w:rPr>
          <w:rFonts w:ascii="Avenir Next LT Pro" w:eastAsia="Times New Roman" w:hAnsi="Avenir Next LT Pro" w:cs="Times New Roman"/>
          <w:noProof/>
          <w:kern w:val="0"/>
          <w:sz w:val="24"/>
          <w:szCs w:val="24"/>
          <w:lang w:eastAsia="en-ID"/>
          <w14:ligatures w14:val="none"/>
        </w:rPr>
        <w:drawing>
          <wp:inline distT="0" distB="0" distL="0" distR="0" wp14:anchorId="171B3FDA" wp14:editId="0AB582FD">
            <wp:extent cx="2838450" cy="1889680"/>
            <wp:effectExtent l="0" t="0" r="0" b="0"/>
            <wp:docPr id="1754430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9820" cy="1897249"/>
                    </a:xfrm>
                    <a:prstGeom prst="rect">
                      <a:avLst/>
                    </a:prstGeom>
                    <a:noFill/>
                    <a:ln>
                      <a:noFill/>
                    </a:ln>
                  </pic:spPr>
                </pic:pic>
              </a:graphicData>
            </a:graphic>
          </wp:inline>
        </w:drawing>
      </w:r>
    </w:p>
    <w:p w14:paraId="6687315E" w14:textId="0AFC2F23" w:rsidR="00514EA8" w:rsidRPr="009C5E32" w:rsidRDefault="00216733" w:rsidP="00B95F43">
      <w:pPr>
        <w:spacing w:after="0" w:line="240" w:lineRule="auto"/>
        <w:jc w:val="center"/>
        <w:rPr>
          <w:rFonts w:ascii="Avenir Next LT Pro" w:hAnsi="Avenir Next LT Pro"/>
        </w:rPr>
      </w:pPr>
      <w:r w:rsidRPr="009C5E32">
        <w:rPr>
          <w:rFonts w:ascii="Avenir Next LT Pro" w:hAnsi="Avenir Next LT Pro"/>
          <w:b/>
          <w:bCs/>
          <w:color w:val="0070C0"/>
        </w:rPr>
        <w:t>Figure 2.</w:t>
      </w:r>
      <w:r w:rsidRPr="009C5E32">
        <w:rPr>
          <w:rFonts w:ascii="Avenir Next LT Pro" w:hAnsi="Avenir Next LT Pro"/>
          <w:color w:val="0070C0"/>
        </w:rPr>
        <w:t xml:space="preserve"> </w:t>
      </w:r>
      <w:r w:rsidRPr="009C5E32">
        <w:rPr>
          <w:rFonts w:ascii="Avenir Next LT Pro" w:hAnsi="Avenir Next LT Pro"/>
        </w:rPr>
        <w:t>Descriptive plot of the average score of students' science process skills</w:t>
      </w:r>
    </w:p>
    <w:p w14:paraId="7A4A39B2" w14:textId="77777777" w:rsidR="00216733" w:rsidRPr="00837001" w:rsidRDefault="00216733" w:rsidP="00B95F43">
      <w:pPr>
        <w:spacing w:after="0" w:line="240" w:lineRule="auto"/>
        <w:rPr>
          <w:rFonts w:ascii="Avenir Next LT Pro" w:hAnsi="Avenir Next LT Pro"/>
          <w:sz w:val="24"/>
          <w:szCs w:val="24"/>
        </w:rPr>
      </w:pPr>
    </w:p>
    <w:p w14:paraId="2FB57EDA" w14:textId="7EDC3494" w:rsidR="00216733" w:rsidRPr="00837001" w:rsidRDefault="0081607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Figure 2 provides a descriptive plot of the average scores of students' science process skills for both the control and experimental groups. The plot clearly illustrates that the experimental group, which received participatory learning with a critical problem-solving approach, achieved higher average scores compared to the control group, which was taught using traditional methods. The experimental group's average score shows less variability and higher consistency, with most scores clustered around the mean. In contrast, the control group exhibits greater variability in scores, indicating a wider range of student performance. The experimental group's higher and more consistent scores suggest that participatory learning effectively enhances students' science process skills, making it a more effective teaching method compared to traditional expository approaches. This visual representation reinforces the findings from Table 1, highlighting the benefits of interactive and collaborative learning environments in improving students' understanding and application of scientific concepts.</w:t>
      </w:r>
      <w:r w:rsidR="005E08D4" w:rsidRPr="00837001">
        <w:rPr>
          <w:rFonts w:ascii="Avenir Next LT Pro" w:hAnsi="Avenir Next LT Pro"/>
          <w:sz w:val="24"/>
          <w:szCs w:val="24"/>
        </w:rPr>
        <w:t xml:space="preserve"> </w:t>
      </w:r>
    </w:p>
    <w:p w14:paraId="2607AA43" w14:textId="5A833BAA" w:rsidR="005E08D4" w:rsidRPr="00837001" w:rsidRDefault="005E08D4"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Furthermore, the results of the ANOVA and post-hoc tests are presented in Table 2 and Table 3 respectively</w:t>
      </w:r>
    </w:p>
    <w:p w14:paraId="07932A3C" w14:textId="77777777" w:rsidR="0081607B" w:rsidRPr="00837001" w:rsidRDefault="0081607B" w:rsidP="00B95F43">
      <w:pPr>
        <w:spacing w:after="0" w:line="240" w:lineRule="auto"/>
        <w:jc w:val="both"/>
        <w:rPr>
          <w:rFonts w:ascii="Avenir Next LT Pro" w:hAnsi="Avenir Next LT Pro"/>
          <w:sz w:val="24"/>
          <w:szCs w:val="24"/>
        </w:rPr>
      </w:pPr>
    </w:p>
    <w:p w14:paraId="7D7CDCF3" w14:textId="16CC4C51" w:rsidR="007E41CB" w:rsidRPr="009C5E32" w:rsidRDefault="007E41CB" w:rsidP="00B95F43">
      <w:pPr>
        <w:spacing w:after="0" w:line="240" w:lineRule="auto"/>
        <w:jc w:val="center"/>
        <w:rPr>
          <w:rFonts w:ascii="Avenir Next LT Pro" w:hAnsi="Avenir Next LT Pro"/>
        </w:rPr>
      </w:pPr>
      <w:r w:rsidRPr="009C5E32">
        <w:rPr>
          <w:rFonts w:ascii="Avenir Next LT Pro" w:hAnsi="Avenir Next LT Pro"/>
          <w:b/>
          <w:bCs/>
          <w:color w:val="0070C0"/>
        </w:rPr>
        <w:t>Table 2.</w:t>
      </w:r>
      <w:r w:rsidRPr="009C5E32">
        <w:rPr>
          <w:rFonts w:ascii="Avenir Next LT Pro" w:hAnsi="Avenir Next LT Pro"/>
        </w:rPr>
        <w:t xml:space="preserve"> The ANOVA test results</w:t>
      </w:r>
    </w:p>
    <w:tbl>
      <w:tblPr>
        <w:tblStyle w:val="TableGrid"/>
        <w:tblW w:w="893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565"/>
        <w:gridCol w:w="838"/>
        <w:gridCol w:w="1430"/>
        <w:gridCol w:w="980"/>
        <w:gridCol w:w="862"/>
        <w:gridCol w:w="993"/>
      </w:tblGrid>
      <w:tr w:rsidR="00112D30" w:rsidRPr="009C5E32" w14:paraId="7DE325CC" w14:textId="77777777" w:rsidTr="001B687F">
        <w:trPr>
          <w:jc w:val="center"/>
        </w:trPr>
        <w:tc>
          <w:tcPr>
            <w:tcW w:w="2263" w:type="dxa"/>
            <w:tcBorders>
              <w:bottom w:val="single" w:sz="4" w:space="0" w:color="auto"/>
            </w:tcBorders>
            <w:shd w:val="clear" w:color="auto" w:fill="DAEEF3"/>
            <w:vAlign w:val="center"/>
          </w:tcPr>
          <w:p w14:paraId="36571D36" w14:textId="6DAA450F" w:rsidR="00112D30" w:rsidRPr="009C5E32" w:rsidRDefault="00112D30" w:rsidP="00B95F43">
            <w:pPr>
              <w:rPr>
                <w:rFonts w:ascii="Avenir Next LT Pro" w:hAnsi="Avenir Next LT Pro"/>
              </w:rPr>
            </w:pPr>
            <w:r w:rsidRPr="009C5E32">
              <w:rPr>
                <w:rFonts w:ascii="Avenir Next LT Pro" w:eastAsia="Times New Roman" w:hAnsi="Avenir Next LT Pro" w:cs="Times New Roman"/>
                <w:b/>
                <w:bCs/>
                <w:kern w:val="0"/>
                <w:lang w:eastAsia="en-ID"/>
                <w14:ligatures w14:val="none"/>
              </w:rPr>
              <w:t>Cases</w:t>
            </w:r>
          </w:p>
        </w:tc>
        <w:tc>
          <w:tcPr>
            <w:tcW w:w="1565" w:type="dxa"/>
            <w:tcBorders>
              <w:bottom w:val="single" w:sz="4" w:space="0" w:color="auto"/>
            </w:tcBorders>
            <w:shd w:val="clear" w:color="auto" w:fill="DAEEF3"/>
            <w:vAlign w:val="center"/>
          </w:tcPr>
          <w:p w14:paraId="470871D7" w14:textId="33EAB4C6"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b/>
                <w:bCs/>
                <w:kern w:val="0"/>
                <w:lang w:eastAsia="en-ID"/>
                <w14:ligatures w14:val="none"/>
              </w:rPr>
              <w:t xml:space="preserve">Sum of </w:t>
            </w:r>
            <w:proofErr w:type="spellStart"/>
            <w:r w:rsidRPr="009C5E32">
              <w:rPr>
                <w:rFonts w:ascii="Avenir Next LT Pro" w:eastAsia="Times New Roman" w:hAnsi="Avenir Next LT Pro" w:cs="Times New Roman"/>
                <w:b/>
                <w:bCs/>
                <w:kern w:val="0"/>
                <w:lang w:eastAsia="en-ID"/>
                <w14:ligatures w14:val="none"/>
              </w:rPr>
              <w:t>Sq</w:t>
            </w:r>
            <w:r w:rsidR="00C61DDD" w:rsidRPr="009C5E32">
              <w:rPr>
                <w:rFonts w:ascii="Avenir Next LT Pro" w:eastAsia="Times New Roman" w:hAnsi="Avenir Next LT Pro" w:cs="Times New Roman"/>
                <w:b/>
                <w:bCs/>
                <w:kern w:val="0"/>
                <w:lang w:eastAsia="en-ID"/>
                <w14:ligatures w14:val="none"/>
              </w:rPr>
              <w:t>rs</w:t>
            </w:r>
            <w:proofErr w:type="spellEnd"/>
            <w:r w:rsidR="00C61DDD" w:rsidRPr="009C5E32">
              <w:rPr>
                <w:rFonts w:ascii="Avenir Next LT Pro" w:eastAsia="Times New Roman" w:hAnsi="Avenir Next LT Pro" w:cs="Times New Roman"/>
                <w:b/>
                <w:bCs/>
                <w:kern w:val="0"/>
                <w:lang w:eastAsia="en-ID"/>
                <w14:ligatures w14:val="none"/>
              </w:rPr>
              <w:t>.</w:t>
            </w:r>
          </w:p>
        </w:tc>
        <w:tc>
          <w:tcPr>
            <w:tcW w:w="838" w:type="dxa"/>
            <w:tcBorders>
              <w:bottom w:val="single" w:sz="4" w:space="0" w:color="auto"/>
            </w:tcBorders>
            <w:shd w:val="clear" w:color="auto" w:fill="DAEEF3"/>
            <w:vAlign w:val="center"/>
          </w:tcPr>
          <w:p w14:paraId="2A041B0D" w14:textId="7C68F6E5" w:rsidR="00112D30" w:rsidRPr="009C5E32" w:rsidRDefault="00112D30" w:rsidP="00B95F43">
            <w:pPr>
              <w:jc w:val="center"/>
              <w:rPr>
                <w:rFonts w:ascii="Avenir Next LT Pro" w:hAnsi="Avenir Next LT Pro"/>
              </w:rPr>
            </w:pPr>
            <w:proofErr w:type="spellStart"/>
            <w:r w:rsidRPr="009C5E32">
              <w:rPr>
                <w:rFonts w:ascii="Avenir Next LT Pro" w:eastAsia="Times New Roman" w:hAnsi="Avenir Next LT Pro" w:cs="Times New Roman"/>
                <w:b/>
                <w:bCs/>
                <w:kern w:val="0"/>
                <w:lang w:eastAsia="en-ID"/>
                <w14:ligatures w14:val="none"/>
              </w:rPr>
              <w:t>df</w:t>
            </w:r>
            <w:proofErr w:type="spellEnd"/>
          </w:p>
        </w:tc>
        <w:tc>
          <w:tcPr>
            <w:tcW w:w="1430" w:type="dxa"/>
            <w:tcBorders>
              <w:bottom w:val="single" w:sz="4" w:space="0" w:color="auto"/>
            </w:tcBorders>
            <w:shd w:val="clear" w:color="auto" w:fill="DAEEF3"/>
            <w:vAlign w:val="center"/>
          </w:tcPr>
          <w:p w14:paraId="7A8E824F" w14:textId="2BBE05A1"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b/>
                <w:bCs/>
                <w:kern w:val="0"/>
                <w:lang w:eastAsia="en-ID"/>
                <w14:ligatures w14:val="none"/>
              </w:rPr>
              <w:t xml:space="preserve">Mean </w:t>
            </w:r>
            <w:proofErr w:type="spellStart"/>
            <w:r w:rsidRPr="009C5E32">
              <w:rPr>
                <w:rFonts w:ascii="Avenir Next LT Pro" w:eastAsia="Times New Roman" w:hAnsi="Avenir Next LT Pro" w:cs="Times New Roman"/>
                <w:b/>
                <w:bCs/>
                <w:kern w:val="0"/>
                <w:lang w:eastAsia="en-ID"/>
                <w14:ligatures w14:val="none"/>
              </w:rPr>
              <w:t>Sq</w:t>
            </w:r>
            <w:r w:rsidR="00C61DDD" w:rsidRPr="009C5E32">
              <w:rPr>
                <w:rFonts w:ascii="Avenir Next LT Pro" w:eastAsia="Times New Roman" w:hAnsi="Avenir Next LT Pro" w:cs="Times New Roman"/>
                <w:b/>
                <w:bCs/>
                <w:kern w:val="0"/>
                <w:lang w:eastAsia="en-ID"/>
                <w14:ligatures w14:val="none"/>
              </w:rPr>
              <w:t>r</w:t>
            </w:r>
            <w:proofErr w:type="spellEnd"/>
            <w:r w:rsidR="00C61DDD" w:rsidRPr="009C5E32">
              <w:rPr>
                <w:rFonts w:ascii="Avenir Next LT Pro" w:eastAsia="Times New Roman" w:hAnsi="Avenir Next LT Pro" w:cs="Times New Roman"/>
                <w:b/>
                <w:bCs/>
                <w:kern w:val="0"/>
                <w:lang w:eastAsia="en-ID"/>
                <w14:ligatures w14:val="none"/>
              </w:rPr>
              <w:t>.</w:t>
            </w:r>
          </w:p>
        </w:tc>
        <w:tc>
          <w:tcPr>
            <w:tcW w:w="980" w:type="dxa"/>
            <w:tcBorders>
              <w:bottom w:val="single" w:sz="4" w:space="0" w:color="auto"/>
            </w:tcBorders>
            <w:shd w:val="clear" w:color="auto" w:fill="DAEEF3"/>
            <w:vAlign w:val="center"/>
          </w:tcPr>
          <w:p w14:paraId="482A0091" w14:textId="38819A31"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b/>
                <w:bCs/>
                <w:kern w:val="0"/>
                <w:lang w:eastAsia="en-ID"/>
                <w14:ligatures w14:val="none"/>
              </w:rPr>
              <w:t>F</w:t>
            </w:r>
          </w:p>
        </w:tc>
        <w:tc>
          <w:tcPr>
            <w:tcW w:w="862" w:type="dxa"/>
            <w:tcBorders>
              <w:bottom w:val="single" w:sz="4" w:space="0" w:color="auto"/>
            </w:tcBorders>
            <w:shd w:val="clear" w:color="auto" w:fill="DAEEF3"/>
            <w:vAlign w:val="center"/>
          </w:tcPr>
          <w:p w14:paraId="0E649BDC" w14:textId="5F052EA7"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b/>
                <w:bCs/>
                <w:kern w:val="0"/>
                <w:lang w:eastAsia="en-ID"/>
                <w14:ligatures w14:val="none"/>
              </w:rPr>
              <w:t>p</w:t>
            </w:r>
          </w:p>
        </w:tc>
        <w:tc>
          <w:tcPr>
            <w:tcW w:w="993" w:type="dxa"/>
            <w:tcBorders>
              <w:bottom w:val="single" w:sz="4" w:space="0" w:color="auto"/>
            </w:tcBorders>
            <w:shd w:val="clear" w:color="auto" w:fill="DAEEF3"/>
            <w:vAlign w:val="center"/>
          </w:tcPr>
          <w:p w14:paraId="44BC10F3" w14:textId="64DBA93D" w:rsidR="00112D30" w:rsidRPr="009C5E32" w:rsidRDefault="00112D30" w:rsidP="00B95F43">
            <w:pPr>
              <w:jc w:val="center"/>
              <w:rPr>
                <w:rFonts w:ascii="Avenir Next LT Pro" w:hAnsi="Avenir Next LT Pro"/>
              </w:rPr>
            </w:pPr>
            <w:r w:rsidRPr="009C5E32">
              <w:rPr>
                <w:rFonts w:ascii="Calibri" w:eastAsia="Times New Roman" w:hAnsi="Calibri" w:cs="Calibri"/>
                <w:b/>
                <w:bCs/>
                <w:kern w:val="0"/>
                <w:lang w:eastAsia="en-ID"/>
                <w14:ligatures w14:val="none"/>
              </w:rPr>
              <w:t>η</w:t>
            </w:r>
            <w:r w:rsidRPr="009C5E32">
              <w:rPr>
                <w:rFonts w:ascii="Avenir Next LT Pro" w:eastAsia="Times New Roman" w:hAnsi="Avenir Next LT Pro" w:cs="Avenir Next LT Pro"/>
                <w:b/>
                <w:bCs/>
                <w:kern w:val="0"/>
                <w:lang w:eastAsia="en-ID"/>
                <w14:ligatures w14:val="none"/>
              </w:rPr>
              <w:t>²</w:t>
            </w:r>
          </w:p>
        </w:tc>
      </w:tr>
      <w:tr w:rsidR="00112D30" w:rsidRPr="009C5E32" w14:paraId="3F0F13E3" w14:textId="77777777" w:rsidTr="00C61DDD">
        <w:trPr>
          <w:jc w:val="center"/>
        </w:trPr>
        <w:tc>
          <w:tcPr>
            <w:tcW w:w="2263" w:type="dxa"/>
            <w:tcBorders>
              <w:top w:val="single" w:sz="4" w:space="0" w:color="auto"/>
              <w:bottom w:val="nil"/>
            </w:tcBorders>
            <w:vAlign w:val="center"/>
          </w:tcPr>
          <w:p w14:paraId="0E2DF60E" w14:textId="1B35191C" w:rsidR="00112D30" w:rsidRPr="009C5E32" w:rsidRDefault="00112D30" w:rsidP="00B95F43">
            <w:pPr>
              <w:rPr>
                <w:rFonts w:ascii="Avenir Next LT Pro" w:hAnsi="Avenir Next LT Pro"/>
              </w:rPr>
            </w:pPr>
            <w:r w:rsidRPr="009C5E32">
              <w:rPr>
                <w:rFonts w:ascii="Avenir Next LT Pro" w:eastAsia="Times New Roman" w:hAnsi="Avenir Next LT Pro" w:cs="Times New Roman"/>
                <w:kern w:val="0"/>
                <w:lang w:eastAsia="en-ID"/>
                <w14:ligatures w14:val="none"/>
              </w:rPr>
              <w:t>RM Factor</w:t>
            </w:r>
          </w:p>
        </w:tc>
        <w:tc>
          <w:tcPr>
            <w:tcW w:w="1565" w:type="dxa"/>
            <w:tcBorders>
              <w:top w:val="single" w:sz="4" w:space="0" w:color="auto"/>
              <w:bottom w:val="nil"/>
            </w:tcBorders>
            <w:vAlign w:val="center"/>
          </w:tcPr>
          <w:p w14:paraId="14451CC7" w14:textId="4D229333"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36.523</w:t>
            </w:r>
          </w:p>
        </w:tc>
        <w:tc>
          <w:tcPr>
            <w:tcW w:w="838" w:type="dxa"/>
            <w:tcBorders>
              <w:top w:val="single" w:sz="4" w:space="0" w:color="auto"/>
              <w:bottom w:val="nil"/>
            </w:tcBorders>
            <w:vAlign w:val="center"/>
          </w:tcPr>
          <w:p w14:paraId="3A6DBFC8" w14:textId="66BEB6DA"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3</w:t>
            </w:r>
          </w:p>
        </w:tc>
        <w:tc>
          <w:tcPr>
            <w:tcW w:w="1430" w:type="dxa"/>
            <w:tcBorders>
              <w:top w:val="single" w:sz="4" w:space="0" w:color="auto"/>
              <w:bottom w:val="nil"/>
            </w:tcBorders>
            <w:vAlign w:val="center"/>
          </w:tcPr>
          <w:p w14:paraId="1F632C0E" w14:textId="3B96D53B"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12.174</w:t>
            </w:r>
          </w:p>
        </w:tc>
        <w:tc>
          <w:tcPr>
            <w:tcW w:w="980" w:type="dxa"/>
            <w:tcBorders>
              <w:top w:val="single" w:sz="4" w:space="0" w:color="auto"/>
              <w:bottom w:val="nil"/>
            </w:tcBorders>
            <w:vAlign w:val="center"/>
          </w:tcPr>
          <w:p w14:paraId="3A9DEB1B" w14:textId="516532A2"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38.092</w:t>
            </w:r>
          </w:p>
        </w:tc>
        <w:tc>
          <w:tcPr>
            <w:tcW w:w="862" w:type="dxa"/>
            <w:tcBorders>
              <w:top w:val="single" w:sz="4" w:space="0" w:color="auto"/>
              <w:bottom w:val="nil"/>
            </w:tcBorders>
            <w:vAlign w:val="center"/>
          </w:tcPr>
          <w:p w14:paraId="5751325D" w14:textId="3DC2FED1"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&lt; .001</w:t>
            </w:r>
          </w:p>
        </w:tc>
        <w:tc>
          <w:tcPr>
            <w:tcW w:w="993" w:type="dxa"/>
            <w:tcBorders>
              <w:top w:val="single" w:sz="4" w:space="0" w:color="auto"/>
              <w:bottom w:val="nil"/>
            </w:tcBorders>
            <w:vAlign w:val="center"/>
          </w:tcPr>
          <w:p w14:paraId="61060588" w14:textId="4BDFF9F8"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0.102</w:t>
            </w:r>
          </w:p>
        </w:tc>
      </w:tr>
      <w:tr w:rsidR="00112D30" w:rsidRPr="009C5E32" w14:paraId="60C40F4B" w14:textId="77777777" w:rsidTr="001B687F">
        <w:trPr>
          <w:jc w:val="center"/>
        </w:trPr>
        <w:tc>
          <w:tcPr>
            <w:tcW w:w="2263" w:type="dxa"/>
            <w:tcBorders>
              <w:top w:val="nil"/>
            </w:tcBorders>
            <w:shd w:val="clear" w:color="auto" w:fill="DAEEF3"/>
            <w:vAlign w:val="center"/>
          </w:tcPr>
          <w:p w14:paraId="407AD15E" w14:textId="526624D4" w:rsidR="00112D30" w:rsidRPr="009C5E32" w:rsidRDefault="00112D30" w:rsidP="00B95F43">
            <w:pPr>
              <w:rPr>
                <w:rFonts w:ascii="Avenir Next LT Pro" w:hAnsi="Avenir Next LT Pro"/>
              </w:rPr>
            </w:pPr>
            <w:r w:rsidRPr="009C5E32">
              <w:rPr>
                <w:rFonts w:ascii="Avenir Next LT Pro" w:eastAsia="Times New Roman" w:hAnsi="Avenir Next LT Pro" w:cs="Times New Roman"/>
                <w:kern w:val="0"/>
                <w:lang w:eastAsia="en-ID"/>
                <w14:ligatures w14:val="none"/>
              </w:rPr>
              <w:t xml:space="preserve">RM Factor </w:t>
            </w:r>
            <w:r w:rsidRPr="009C5E32">
              <w:rPr>
                <w:rFonts w:ascii="Segoe UI Symbol" w:eastAsia="Times New Roman" w:hAnsi="Segoe UI Symbol" w:cs="Segoe UI Symbol"/>
                <w:kern w:val="0"/>
                <w:lang w:eastAsia="en-ID"/>
                <w14:ligatures w14:val="none"/>
              </w:rPr>
              <w:t>✻</w:t>
            </w:r>
            <w:r w:rsidRPr="009C5E32">
              <w:rPr>
                <w:rFonts w:ascii="Avenir Next LT Pro" w:eastAsia="Times New Roman" w:hAnsi="Avenir Next LT Pro" w:cs="Times New Roman"/>
                <w:kern w:val="0"/>
                <w:lang w:eastAsia="en-ID"/>
                <w14:ligatures w14:val="none"/>
              </w:rPr>
              <w:t xml:space="preserve"> Group</w:t>
            </w:r>
          </w:p>
        </w:tc>
        <w:tc>
          <w:tcPr>
            <w:tcW w:w="1565" w:type="dxa"/>
            <w:tcBorders>
              <w:top w:val="nil"/>
            </w:tcBorders>
            <w:shd w:val="clear" w:color="auto" w:fill="DAEEF3"/>
            <w:vAlign w:val="center"/>
          </w:tcPr>
          <w:p w14:paraId="42BEDE30" w14:textId="4275E1B2"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8.982</w:t>
            </w:r>
          </w:p>
        </w:tc>
        <w:tc>
          <w:tcPr>
            <w:tcW w:w="838" w:type="dxa"/>
            <w:tcBorders>
              <w:top w:val="nil"/>
            </w:tcBorders>
            <w:shd w:val="clear" w:color="auto" w:fill="DAEEF3"/>
            <w:vAlign w:val="center"/>
          </w:tcPr>
          <w:p w14:paraId="2F5EA584" w14:textId="3D79A941"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3</w:t>
            </w:r>
          </w:p>
        </w:tc>
        <w:tc>
          <w:tcPr>
            <w:tcW w:w="1430" w:type="dxa"/>
            <w:tcBorders>
              <w:top w:val="nil"/>
            </w:tcBorders>
            <w:shd w:val="clear" w:color="auto" w:fill="DAEEF3"/>
            <w:vAlign w:val="center"/>
          </w:tcPr>
          <w:p w14:paraId="5D0076C4" w14:textId="247F0610"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2.994</w:t>
            </w:r>
          </w:p>
        </w:tc>
        <w:tc>
          <w:tcPr>
            <w:tcW w:w="980" w:type="dxa"/>
            <w:tcBorders>
              <w:top w:val="nil"/>
            </w:tcBorders>
            <w:shd w:val="clear" w:color="auto" w:fill="DAEEF3"/>
            <w:vAlign w:val="center"/>
          </w:tcPr>
          <w:p w14:paraId="75D937C8" w14:textId="32544CB7"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9.368</w:t>
            </w:r>
          </w:p>
        </w:tc>
        <w:tc>
          <w:tcPr>
            <w:tcW w:w="862" w:type="dxa"/>
            <w:tcBorders>
              <w:top w:val="nil"/>
            </w:tcBorders>
            <w:shd w:val="clear" w:color="auto" w:fill="DAEEF3"/>
            <w:vAlign w:val="center"/>
          </w:tcPr>
          <w:p w14:paraId="293DFA27" w14:textId="7CB67A9A"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&lt; .001</w:t>
            </w:r>
          </w:p>
        </w:tc>
        <w:tc>
          <w:tcPr>
            <w:tcW w:w="993" w:type="dxa"/>
            <w:tcBorders>
              <w:top w:val="nil"/>
            </w:tcBorders>
            <w:shd w:val="clear" w:color="auto" w:fill="DAEEF3"/>
            <w:vAlign w:val="center"/>
          </w:tcPr>
          <w:p w14:paraId="49B285CE" w14:textId="6A858704"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0.025</w:t>
            </w:r>
          </w:p>
        </w:tc>
      </w:tr>
      <w:tr w:rsidR="00112D30" w:rsidRPr="009C5E32" w14:paraId="2EC84CA3" w14:textId="77777777" w:rsidTr="00C61DDD">
        <w:trPr>
          <w:jc w:val="center"/>
        </w:trPr>
        <w:tc>
          <w:tcPr>
            <w:tcW w:w="2263" w:type="dxa"/>
            <w:vAlign w:val="center"/>
          </w:tcPr>
          <w:p w14:paraId="5C8B99D2" w14:textId="10D8E4DC" w:rsidR="00112D30" w:rsidRPr="009C5E32" w:rsidRDefault="00112D30" w:rsidP="00B95F43">
            <w:pPr>
              <w:rPr>
                <w:rFonts w:ascii="Avenir Next LT Pro" w:hAnsi="Avenir Next LT Pro"/>
              </w:rPr>
            </w:pPr>
            <w:r w:rsidRPr="009C5E32">
              <w:rPr>
                <w:rFonts w:ascii="Avenir Next LT Pro" w:eastAsia="Times New Roman" w:hAnsi="Avenir Next LT Pro" w:cs="Times New Roman"/>
                <w:kern w:val="0"/>
                <w:lang w:eastAsia="en-ID"/>
                <w14:ligatures w14:val="none"/>
              </w:rPr>
              <w:t>Residuals</w:t>
            </w:r>
          </w:p>
        </w:tc>
        <w:tc>
          <w:tcPr>
            <w:tcW w:w="1565" w:type="dxa"/>
            <w:vAlign w:val="center"/>
          </w:tcPr>
          <w:p w14:paraId="7298E481" w14:textId="3F603F28"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56.570</w:t>
            </w:r>
          </w:p>
        </w:tc>
        <w:tc>
          <w:tcPr>
            <w:tcW w:w="838" w:type="dxa"/>
            <w:vAlign w:val="center"/>
          </w:tcPr>
          <w:p w14:paraId="6E83132F" w14:textId="7F5EF734"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177</w:t>
            </w:r>
          </w:p>
        </w:tc>
        <w:tc>
          <w:tcPr>
            <w:tcW w:w="1430" w:type="dxa"/>
            <w:vAlign w:val="center"/>
          </w:tcPr>
          <w:p w14:paraId="3583E8B0" w14:textId="38184E2F"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0.320</w:t>
            </w:r>
          </w:p>
        </w:tc>
        <w:tc>
          <w:tcPr>
            <w:tcW w:w="980" w:type="dxa"/>
          </w:tcPr>
          <w:p w14:paraId="20827018" w14:textId="77777777" w:rsidR="00112D30" w:rsidRPr="009C5E32" w:rsidRDefault="00112D30" w:rsidP="00B95F43">
            <w:pPr>
              <w:jc w:val="center"/>
              <w:rPr>
                <w:rFonts w:ascii="Avenir Next LT Pro" w:hAnsi="Avenir Next LT Pro"/>
              </w:rPr>
            </w:pPr>
          </w:p>
        </w:tc>
        <w:tc>
          <w:tcPr>
            <w:tcW w:w="862" w:type="dxa"/>
            <w:vAlign w:val="center"/>
          </w:tcPr>
          <w:p w14:paraId="47131F7C" w14:textId="7F8A6E9C" w:rsidR="00112D30" w:rsidRPr="009C5E32" w:rsidRDefault="00112D30" w:rsidP="00B95F43">
            <w:pPr>
              <w:jc w:val="center"/>
              <w:rPr>
                <w:rFonts w:ascii="Avenir Next LT Pro" w:hAnsi="Avenir Next LT Pro"/>
              </w:rPr>
            </w:pPr>
            <w:r w:rsidRPr="009C5E32">
              <w:rPr>
                <w:rFonts w:ascii="Avenir Next LT Pro" w:eastAsia="Times New Roman" w:hAnsi="Avenir Next LT Pro" w:cs="Times New Roman"/>
                <w:kern w:val="0"/>
                <w:lang w:eastAsia="en-ID"/>
                <w14:ligatures w14:val="none"/>
              </w:rPr>
              <w:t> </w:t>
            </w:r>
          </w:p>
        </w:tc>
        <w:tc>
          <w:tcPr>
            <w:tcW w:w="993" w:type="dxa"/>
          </w:tcPr>
          <w:p w14:paraId="43ABBEEC" w14:textId="77777777" w:rsidR="00112D30" w:rsidRPr="009C5E32" w:rsidRDefault="00112D30" w:rsidP="00B95F43">
            <w:pPr>
              <w:jc w:val="center"/>
              <w:rPr>
                <w:rFonts w:ascii="Avenir Next LT Pro" w:hAnsi="Avenir Next LT Pro"/>
              </w:rPr>
            </w:pPr>
          </w:p>
        </w:tc>
      </w:tr>
    </w:tbl>
    <w:p w14:paraId="3454E17A" w14:textId="77777777" w:rsidR="00112D30" w:rsidRPr="00837001" w:rsidRDefault="00112D30" w:rsidP="00B95F43">
      <w:pPr>
        <w:spacing w:after="0" w:line="240" w:lineRule="auto"/>
        <w:rPr>
          <w:rFonts w:ascii="Avenir Next LT Pro" w:hAnsi="Avenir Next LT Pro"/>
          <w:sz w:val="24"/>
          <w:szCs w:val="24"/>
        </w:rPr>
      </w:pPr>
    </w:p>
    <w:p w14:paraId="5D2413ED" w14:textId="7BBC9C7C" w:rsidR="007D6ED8" w:rsidRPr="00837001" w:rsidRDefault="007D6ED8"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 xml:space="preserve">Table 2 presents the ANOVA test results, which </w:t>
      </w:r>
      <w:proofErr w:type="spellStart"/>
      <w:r w:rsidRPr="00837001">
        <w:rPr>
          <w:rFonts w:ascii="Avenir Next LT Pro" w:hAnsi="Avenir Next LT Pro"/>
          <w:sz w:val="24"/>
          <w:szCs w:val="24"/>
        </w:rPr>
        <w:t>analyze</w:t>
      </w:r>
      <w:proofErr w:type="spellEnd"/>
      <w:r w:rsidRPr="00837001">
        <w:rPr>
          <w:rFonts w:ascii="Avenir Next LT Pro" w:hAnsi="Avenir Next LT Pro"/>
          <w:sz w:val="24"/>
          <w:szCs w:val="24"/>
        </w:rPr>
        <w:t xml:space="preserve"> the differences in science process skills between the control and experimental groups across the three experimental materials: pulleys, inclined planes, and levers. The ANOVA results show a significant main effect for the repeated measures (RM) factor (F</w:t>
      </w:r>
      <w:r w:rsidRPr="00837001">
        <w:rPr>
          <w:rFonts w:ascii="Avenir Next LT Pro" w:hAnsi="Avenir Next LT Pro"/>
          <w:sz w:val="24"/>
          <w:szCs w:val="24"/>
          <w:vertAlign w:val="subscript"/>
        </w:rPr>
        <w:t>(3,177)</w:t>
      </w:r>
      <w:r w:rsidRPr="00837001">
        <w:rPr>
          <w:rFonts w:ascii="Avenir Next LT Pro" w:hAnsi="Avenir Next LT Pro"/>
          <w:sz w:val="24"/>
          <w:szCs w:val="24"/>
        </w:rPr>
        <w:t xml:space="preserve"> = 38.092, p &lt; .001, </w:t>
      </w:r>
      <w:r w:rsidRPr="00837001">
        <w:rPr>
          <w:rFonts w:ascii="Calibri" w:hAnsi="Calibri" w:cs="Calibri"/>
          <w:sz w:val="24"/>
          <w:szCs w:val="24"/>
        </w:rPr>
        <w:t>η</w:t>
      </w:r>
      <w:r w:rsidRPr="00837001">
        <w:rPr>
          <w:rFonts w:ascii="Avenir Next LT Pro" w:hAnsi="Avenir Next LT Pro" w:cs="Avenir Next LT Pro"/>
          <w:sz w:val="24"/>
          <w:szCs w:val="24"/>
        </w:rPr>
        <w:t>²</w:t>
      </w:r>
      <w:r w:rsidRPr="00837001">
        <w:rPr>
          <w:rFonts w:ascii="Avenir Next LT Pro" w:hAnsi="Avenir Next LT Pro"/>
          <w:sz w:val="24"/>
          <w:szCs w:val="24"/>
        </w:rPr>
        <w:t xml:space="preserve"> = 0.102), indicating substantial differences in science process skills across the different types of simple machines. Additionally, the interaction between the RM factor and the group was also significant (F</w:t>
      </w:r>
      <w:r w:rsidRPr="00837001">
        <w:rPr>
          <w:rFonts w:ascii="Avenir Next LT Pro" w:hAnsi="Avenir Next LT Pro"/>
          <w:sz w:val="24"/>
          <w:szCs w:val="24"/>
          <w:vertAlign w:val="subscript"/>
        </w:rPr>
        <w:t>(3,177)</w:t>
      </w:r>
      <w:r w:rsidRPr="00837001">
        <w:rPr>
          <w:rFonts w:ascii="Avenir Next LT Pro" w:hAnsi="Avenir Next LT Pro"/>
          <w:sz w:val="24"/>
          <w:szCs w:val="24"/>
        </w:rPr>
        <w:t xml:space="preserve"> = 9.368, p &lt; .001, </w:t>
      </w:r>
      <w:r w:rsidRPr="00837001">
        <w:rPr>
          <w:rFonts w:ascii="Calibri" w:hAnsi="Calibri" w:cs="Calibri"/>
          <w:sz w:val="24"/>
          <w:szCs w:val="24"/>
        </w:rPr>
        <w:t>η</w:t>
      </w:r>
      <w:r w:rsidRPr="00837001">
        <w:rPr>
          <w:rFonts w:ascii="Avenir Next LT Pro" w:hAnsi="Avenir Next LT Pro" w:cs="Avenir Next LT Pro"/>
          <w:sz w:val="24"/>
          <w:szCs w:val="24"/>
        </w:rPr>
        <w:t>²</w:t>
      </w:r>
      <w:r w:rsidRPr="00837001">
        <w:rPr>
          <w:rFonts w:ascii="Avenir Next LT Pro" w:hAnsi="Avenir Next LT Pro"/>
          <w:sz w:val="24"/>
          <w:szCs w:val="24"/>
        </w:rPr>
        <w:t xml:space="preserve"> = 0.025), suggesting that the type of instructional method (participatory learning vs. traditional teaching) significantly influenced the students' performance in science process skills. The significant interaction effect underscores that the experimental group's participatory learning approach was more effective in enhancing students' science process skills compared to the control group's traditional teaching methods.</w:t>
      </w:r>
    </w:p>
    <w:p w14:paraId="1B298E82" w14:textId="77777777" w:rsidR="007D6ED8" w:rsidRPr="00837001" w:rsidRDefault="007D6ED8" w:rsidP="00B95F43">
      <w:pPr>
        <w:spacing w:after="0" w:line="240" w:lineRule="auto"/>
        <w:rPr>
          <w:rFonts w:ascii="Avenir Next LT Pro" w:hAnsi="Avenir Next LT Pro"/>
          <w:sz w:val="24"/>
          <w:szCs w:val="24"/>
        </w:rPr>
      </w:pPr>
    </w:p>
    <w:p w14:paraId="2D9FBAB3" w14:textId="425A7DB9" w:rsidR="00216733" w:rsidRPr="00305318" w:rsidRDefault="00112D30" w:rsidP="00B95F43">
      <w:pPr>
        <w:spacing w:after="0" w:line="240" w:lineRule="auto"/>
        <w:jc w:val="center"/>
        <w:rPr>
          <w:rFonts w:ascii="Avenir Next LT Pro" w:hAnsi="Avenir Next LT Pro"/>
        </w:rPr>
      </w:pPr>
      <w:r w:rsidRPr="00305318">
        <w:rPr>
          <w:rFonts w:ascii="Avenir Next LT Pro" w:hAnsi="Avenir Next LT Pro"/>
          <w:b/>
          <w:bCs/>
          <w:color w:val="0070C0"/>
        </w:rPr>
        <w:t>Table 3.</w:t>
      </w:r>
      <w:r w:rsidRPr="00305318">
        <w:rPr>
          <w:rFonts w:ascii="Avenir Next LT Pro" w:hAnsi="Avenir Next LT Pro"/>
          <w:color w:val="0070C0"/>
        </w:rPr>
        <w:t xml:space="preserve"> </w:t>
      </w:r>
      <w:r w:rsidRPr="00305318">
        <w:rPr>
          <w:rFonts w:ascii="Avenir Next LT Pro" w:hAnsi="Avenir Next LT Pro"/>
        </w:rPr>
        <w:t xml:space="preserve">The </w:t>
      </w:r>
      <w:r w:rsidR="005E582F" w:rsidRPr="00305318">
        <w:rPr>
          <w:rFonts w:ascii="Avenir Next LT Pro" w:hAnsi="Avenir Next LT Pro"/>
        </w:rPr>
        <w:t>post-hoc comparisons</w:t>
      </w:r>
    </w:p>
    <w:tbl>
      <w:tblPr>
        <w:tblStyle w:val="TableGrid"/>
        <w:tblW w:w="879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693"/>
        <w:gridCol w:w="1383"/>
        <w:gridCol w:w="850"/>
        <w:gridCol w:w="1027"/>
        <w:gridCol w:w="858"/>
      </w:tblGrid>
      <w:tr w:rsidR="00712474" w:rsidRPr="00305318" w14:paraId="14E2C4FB" w14:textId="77777777" w:rsidTr="001B687F">
        <w:trPr>
          <w:tblHeader/>
          <w:jc w:val="center"/>
        </w:trPr>
        <w:tc>
          <w:tcPr>
            <w:tcW w:w="4673" w:type="dxa"/>
            <w:gridSpan w:val="2"/>
            <w:tcBorders>
              <w:bottom w:val="single" w:sz="4" w:space="0" w:color="auto"/>
            </w:tcBorders>
            <w:shd w:val="clear" w:color="auto" w:fill="DAEEF3"/>
            <w:vAlign w:val="center"/>
          </w:tcPr>
          <w:p w14:paraId="5E595EBD" w14:textId="2C0645B2" w:rsidR="00712474" w:rsidRPr="00305318" w:rsidRDefault="00712474" w:rsidP="00B95F43">
            <w:pPr>
              <w:rPr>
                <w:rFonts w:ascii="Avenir Next LT Pro" w:hAnsi="Avenir Next LT Pro"/>
              </w:rPr>
            </w:pPr>
            <w:r w:rsidRPr="00305318">
              <w:rPr>
                <w:rFonts w:ascii="Avenir Next LT Pro" w:eastAsia="Times New Roman" w:hAnsi="Avenir Next LT Pro" w:cs="Times New Roman"/>
                <w:b/>
                <w:bCs/>
                <w:kern w:val="0"/>
                <w:lang w:eastAsia="en-ID"/>
                <w14:ligatures w14:val="none"/>
              </w:rPr>
              <w:t xml:space="preserve">Group, </w:t>
            </w:r>
            <w:r w:rsidRPr="00305318">
              <w:rPr>
                <w:rFonts w:ascii="Avenir Next LT Pro" w:hAnsi="Avenir Next LT Pro"/>
                <w:b/>
                <w:bCs/>
              </w:rPr>
              <w:t>experimental material</w:t>
            </w:r>
          </w:p>
        </w:tc>
        <w:tc>
          <w:tcPr>
            <w:tcW w:w="1383" w:type="dxa"/>
            <w:tcBorders>
              <w:bottom w:val="single" w:sz="4" w:space="0" w:color="auto"/>
            </w:tcBorders>
            <w:shd w:val="clear" w:color="auto" w:fill="DAEEF3"/>
            <w:vAlign w:val="center"/>
          </w:tcPr>
          <w:p w14:paraId="25946CA7" w14:textId="520DB39D"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b/>
                <w:bCs/>
                <w:kern w:val="0"/>
                <w:lang w:eastAsia="en-ID"/>
                <w14:ligatures w14:val="none"/>
              </w:rPr>
              <w:t>Mean Diff.</w:t>
            </w:r>
          </w:p>
        </w:tc>
        <w:tc>
          <w:tcPr>
            <w:tcW w:w="850" w:type="dxa"/>
            <w:tcBorders>
              <w:bottom w:val="single" w:sz="4" w:space="0" w:color="auto"/>
            </w:tcBorders>
            <w:shd w:val="clear" w:color="auto" w:fill="DAEEF3"/>
            <w:vAlign w:val="center"/>
          </w:tcPr>
          <w:p w14:paraId="4A18FD09" w14:textId="72B07D27"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b/>
                <w:bCs/>
                <w:kern w:val="0"/>
                <w:lang w:eastAsia="en-ID"/>
                <w14:ligatures w14:val="none"/>
              </w:rPr>
              <w:t>SE</w:t>
            </w:r>
          </w:p>
        </w:tc>
        <w:tc>
          <w:tcPr>
            <w:tcW w:w="1027" w:type="dxa"/>
            <w:tcBorders>
              <w:bottom w:val="single" w:sz="4" w:space="0" w:color="auto"/>
            </w:tcBorders>
            <w:shd w:val="clear" w:color="auto" w:fill="DAEEF3"/>
            <w:vAlign w:val="center"/>
          </w:tcPr>
          <w:p w14:paraId="3BB02F37" w14:textId="77BE2951"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b/>
                <w:bCs/>
                <w:kern w:val="0"/>
                <w:lang w:eastAsia="en-ID"/>
                <w14:ligatures w14:val="none"/>
              </w:rPr>
              <w:t>t</w:t>
            </w:r>
          </w:p>
        </w:tc>
        <w:tc>
          <w:tcPr>
            <w:tcW w:w="858" w:type="dxa"/>
            <w:tcBorders>
              <w:bottom w:val="single" w:sz="4" w:space="0" w:color="auto"/>
            </w:tcBorders>
            <w:shd w:val="clear" w:color="auto" w:fill="DAEEF3"/>
            <w:vAlign w:val="center"/>
          </w:tcPr>
          <w:p w14:paraId="71102EDD" w14:textId="5543F4D9" w:rsidR="00712474" w:rsidRPr="00305318" w:rsidRDefault="00712474" w:rsidP="00B95F43">
            <w:pPr>
              <w:jc w:val="center"/>
              <w:rPr>
                <w:rFonts w:ascii="Avenir Next LT Pro" w:hAnsi="Avenir Next LT Pro"/>
              </w:rPr>
            </w:pPr>
            <w:proofErr w:type="spellStart"/>
            <w:r w:rsidRPr="00305318">
              <w:rPr>
                <w:rFonts w:ascii="Avenir Next LT Pro" w:eastAsia="Times New Roman" w:hAnsi="Avenir Next LT Pro" w:cs="Times New Roman"/>
                <w:b/>
                <w:bCs/>
                <w:kern w:val="0"/>
                <w:lang w:eastAsia="en-ID"/>
                <w14:ligatures w14:val="none"/>
              </w:rPr>
              <w:t>p</w:t>
            </w:r>
            <w:r w:rsidRPr="00305318">
              <w:rPr>
                <w:rFonts w:ascii="Avenir Next LT Pro" w:eastAsia="Times New Roman" w:hAnsi="Avenir Next LT Pro" w:cs="Times New Roman"/>
                <w:b/>
                <w:bCs/>
                <w:kern w:val="0"/>
                <w:vertAlign w:val="subscript"/>
                <w:lang w:eastAsia="en-ID"/>
                <w14:ligatures w14:val="none"/>
              </w:rPr>
              <w:t>holm</w:t>
            </w:r>
            <w:proofErr w:type="spellEnd"/>
          </w:p>
        </w:tc>
      </w:tr>
      <w:tr w:rsidR="00C61DDD" w:rsidRPr="00305318" w14:paraId="60625802" w14:textId="77777777" w:rsidTr="00C61DDD">
        <w:trPr>
          <w:jc w:val="center"/>
        </w:trPr>
        <w:tc>
          <w:tcPr>
            <w:tcW w:w="1980" w:type="dxa"/>
            <w:tcBorders>
              <w:top w:val="single" w:sz="4" w:space="0" w:color="auto"/>
              <w:bottom w:val="nil"/>
            </w:tcBorders>
            <w:vAlign w:val="center"/>
          </w:tcPr>
          <w:p w14:paraId="5AAB8BDA" w14:textId="1B7ABBD0"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Pulleys</w:t>
            </w:r>
          </w:p>
        </w:tc>
        <w:tc>
          <w:tcPr>
            <w:tcW w:w="2693" w:type="dxa"/>
            <w:tcBorders>
              <w:top w:val="single" w:sz="4" w:space="0" w:color="auto"/>
              <w:bottom w:val="nil"/>
            </w:tcBorders>
            <w:vAlign w:val="center"/>
          </w:tcPr>
          <w:p w14:paraId="02210CA8" w14:textId="0581B39D"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Pulleys</w:t>
            </w:r>
          </w:p>
        </w:tc>
        <w:tc>
          <w:tcPr>
            <w:tcW w:w="1383" w:type="dxa"/>
            <w:tcBorders>
              <w:top w:val="single" w:sz="4" w:space="0" w:color="auto"/>
              <w:bottom w:val="nil"/>
            </w:tcBorders>
            <w:vAlign w:val="center"/>
          </w:tcPr>
          <w:p w14:paraId="48EF3012" w14:textId="4CDCB6B0"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-0.644</w:t>
            </w:r>
          </w:p>
        </w:tc>
        <w:tc>
          <w:tcPr>
            <w:tcW w:w="850" w:type="dxa"/>
            <w:tcBorders>
              <w:top w:val="single" w:sz="4" w:space="0" w:color="auto"/>
              <w:bottom w:val="nil"/>
            </w:tcBorders>
            <w:vAlign w:val="center"/>
          </w:tcPr>
          <w:p w14:paraId="1B13EE5F" w14:textId="38AC2366"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tcBorders>
              <w:top w:val="single" w:sz="4" w:space="0" w:color="auto"/>
              <w:bottom w:val="nil"/>
            </w:tcBorders>
            <w:vAlign w:val="center"/>
          </w:tcPr>
          <w:p w14:paraId="66AC7618" w14:textId="280013E6"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-2.586</w:t>
            </w:r>
          </w:p>
        </w:tc>
        <w:tc>
          <w:tcPr>
            <w:tcW w:w="858" w:type="dxa"/>
            <w:tcBorders>
              <w:top w:val="single" w:sz="4" w:space="0" w:color="auto"/>
              <w:bottom w:val="nil"/>
            </w:tcBorders>
            <w:vAlign w:val="center"/>
          </w:tcPr>
          <w:p w14:paraId="013B70C8" w14:textId="7B4B628F"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0.100</w:t>
            </w:r>
          </w:p>
        </w:tc>
      </w:tr>
      <w:tr w:rsidR="00C61DDD" w:rsidRPr="00305318" w14:paraId="4430102F" w14:textId="77777777" w:rsidTr="001B687F">
        <w:trPr>
          <w:jc w:val="center"/>
        </w:trPr>
        <w:tc>
          <w:tcPr>
            <w:tcW w:w="1980" w:type="dxa"/>
            <w:tcBorders>
              <w:top w:val="nil"/>
            </w:tcBorders>
            <w:shd w:val="clear" w:color="auto" w:fill="DAEEF3"/>
            <w:vAlign w:val="center"/>
          </w:tcPr>
          <w:p w14:paraId="37D73D23" w14:textId="4E83DE00"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tcBorders>
              <w:top w:val="nil"/>
            </w:tcBorders>
            <w:shd w:val="clear" w:color="auto" w:fill="DAEEF3"/>
            <w:vAlign w:val="center"/>
          </w:tcPr>
          <w:p w14:paraId="5751490C" w14:textId="5BD43A3E"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Inclined planes</w:t>
            </w:r>
          </w:p>
        </w:tc>
        <w:tc>
          <w:tcPr>
            <w:tcW w:w="1383" w:type="dxa"/>
            <w:tcBorders>
              <w:top w:val="nil"/>
            </w:tcBorders>
            <w:shd w:val="clear" w:color="auto" w:fill="DAEEF3"/>
            <w:vAlign w:val="center"/>
          </w:tcPr>
          <w:p w14:paraId="646C2953" w14:textId="4A594D10"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-0.500</w:t>
            </w:r>
          </w:p>
        </w:tc>
        <w:tc>
          <w:tcPr>
            <w:tcW w:w="850" w:type="dxa"/>
            <w:tcBorders>
              <w:top w:val="nil"/>
            </w:tcBorders>
            <w:shd w:val="clear" w:color="auto" w:fill="DAEEF3"/>
            <w:vAlign w:val="center"/>
          </w:tcPr>
          <w:p w14:paraId="247A386F" w14:textId="3ED6DA58"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0.146</w:t>
            </w:r>
          </w:p>
        </w:tc>
        <w:tc>
          <w:tcPr>
            <w:tcW w:w="1027" w:type="dxa"/>
            <w:tcBorders>
              <w:top w:val="nil"/>
            </w:tcBorders>
            <w:shd w:val="clear" w:color="auto" w:fill="DAEEF3"/>
            <w:vAlign w:val="center"/>
          </w:tcPr>
          <w:p w14:paraId="7FD3C7A6" w14:textId="260838C5"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-3.425</w:t>
            </w:r>
          </w:p>
        </w:tc>
        <w:tc>
          <w:tcPr>
            <w:tcW w:w="858" w:type="dxa"/>
            <w:tcBorders>
              <w:top w:val="nil"/>
            </w:tcBorders>
            <w:shd w:val="clear" w:color="auto" w:fill="DAEEF3"/>
            <w:vAlign w:val="center"/>
          </w:tcPr>
          <w:p w14:paraId="7A9F1686" w14:textId="16110828"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0.009</w:t>
            </w:r>
          </w:p>
        </w:tc>
      </w:tr>
      <w:tr w:rsidR="00712474" w:rsidRPr="00305318" w14:paraId="4C1A151E" w14:textId="77777777" w:rsidTr="00C61DDD">
        <w:trPr>
          <w:jc w:val="center"/>
        </w:trPr>
        <w:tc>
          <w:tcPr>
            <w:tcW w:w="1980" w:type="dxa"/>
            <w:vAlign w:val="center"/>
          </w:tcPr>
          <w:p w14:paraId="02E9BE82" w14:textId="33E882C3"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vAlign w:val="center"/>
          </w:tcPr>
          <w:p w14:paraId="5C3E3620" w14:textId="77CB3CCE"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Inclined planes</w:t>
            </w:r>
          </w:p>
        </w:tc>
        <w:tc>
          <w:tcPr>
            <w:tcW w:w="1383" w:type="dxa"/>
            <w:vAlign w:val="center"/>
          </w:tcPr>
          <w:p w14:paraId="59AF4C9B" w14:textId="5EEE3175"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-1.773</w:t>
            </w:r>
          </w:p>
        </w:tc>
        <w:tc>
          <w:tcPr>
            <w:tcW w:w="850" w:type="dxa"/>
            <w:vAlign w:val="center"/>
          </w:tcPr>
          <w:p w14:paraId="351AC521" w14:textId="53833716"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vAlign w:val="center"/>
          </w:tcPr>
          <w:p w14:paraId="5F094F44" w14:textId="2476ABB8"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-7.120</w:t>
            </w:r>
          </w:p>
        </w:tc>
        <w:tc>
          <w:tcPr>
            <w:tcW w:w="858" w:type="dxa"/>
            <w:vAlign w:val="center"/>
          </w:tcPr>
          <w:p w14:paraId="0332BA19" w14:textId="267291EB"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1B687F" w:rsidRPr="00305318" w14:paraId="5B6E7C2E" w14:textId="77777777" w:rsidTr="001B687F">
        <w:trPr>
          <w:jc w:val="center"/>
        </w:trPr>
        <w:tc>
          <w:tcPr>
            <w:tcW w:w="1980" w:type="dxa"/>
            <w:shd w:val="clear" w:color="auto" w:fill="DAEEF3"/>
            <w:vAlign w:val="center"/>
          </w:tcPr>
          <w:p w14:paraId="1FA8F70B" w14:textId="79ED47BB"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shd w:val="clear" w:color="auto" w:fill="DAEEF3"/>
            <w:vAlign w:val="center"/>
          </w:tcPr>
          <w:p w14:paraId="301A34FE" w14:textId="4AE89456"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Levers</w:t>
            </w:r>
          </w:p>
        </w:tc>
        <w:tc>
          <w:tcPr>
            <w:tcW w:w="1383" w:type="dxa"/>
            <w:shd w:val="clear" w:color="auto" w:fill="DAEEF3"/>
            <w:vAlign w:val="center"/>
          </w:tcPr>
          <w:p w14:paraId="786FBF80" w14:textId="72EC3CC1"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-0.500</w:t>
            </w:r>
          </w:p>
        </w:tc>
        <w:tc>
          <w:tcPr>
            <w:tcW w:w="850" w:type="dxa"/>
            <w:shd w:val="clear" w:color="auto" w:fill="DAEEF3"/>
            <w:vAlign w:val="center"/>
          </w:tcPr>
          <w:p w14:paraId="7212796C" w14:textId="6BE52E04"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0.146</w:t>
            </w:r>
          </w:p>
        </w:tc>
        <w:tc>
          <w:tcPr>
            <w:tcW w:w="1027" w:type="dxa"/>
            <w:shd w:val="clear" w:color="auto" w:fill="DAEEF3"/>
            <w:vAlign w:val="center"/>
          </w:tcPr>
          <w:p w14:paraId="49C9220A" w14:textId="77A676A0"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-3.425</w:t>
            </w:r>
          </w:p>
        </w:tc>
        <w:tc>
          <w:tcPr>
            <w:tcW w:w="858" w:type="dxa"/>
            <w:shd w:val="clear" w:color="auto" w:fill="DAEEF3"/>
            <w:vAlign w:val="center"/>
          </w:tcPr>
          <w:p w14:paraId="442BB293" w14:textId="14549E5E"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0.009</w:t>
            </w:r>
          </w:p>
        </w:tc>
      </w:tr>
      <w:tr w:rsidR="00712474" w:rsidRPr="00305318" w14:paraId="14AAF5F3" w14:textId="77777777" w:rsidTr="00C61DDD">
        <w:trPr>
          <w:jc w:val="center"/>
        </w:trPr>
        <w:tc>
          <w:tcPr>
            <w:tcW w:w="1980" w:type="dxa"/>
            <w:vAlign w:val="center"/>
          </w:tcPr>
          <w:p w14:paraId="389ED531" w14:textId="1EE5C96C"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vAlign w:val="center"/>
          </w:tcPr>
          <w:p w14:paraId="40658288" w14:textId="578F777D"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Levers</w:t>
            </w:r>
          </w:p>
        </w:tc>
        <w:tc>
          <w:tcPr>
            <w:tcW w:w="1383" w:type="dxa"/>
            <w:vAlign w:val="center"/>
          </w:tcPr>
          <w:p w14:paraId="114D6B0F" w14:textId="6BE39D7D"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-2.225</w:t>
            </w:r>
          </w:p>
        </w:tc>
        <w:tc>
          <w:tcPr>
            <w:tcW w:w="850" w:type="dxa"/>
            <w:vAlign w:val="center"/>
          </w:tcPr>
          <w:p w14:paraId="6210D525" w14:textId="5223464A"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vAlign w:val="center"/>
          </w:tcPr>
          <w:p w14:paraId="3ACDDD36" w14:textId="4821CE96"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-8.933</w:t>
            </w:r>
          </w:p>
        </w:tc>
        <w:tc>
          <w:tcPr>
            <w:tcW w:w="858" w:type="dxa"/>
            <w:vAlign w:val="center"/>
          </w:tcPr>
          <w:p w14:paraId="06AC2242" w14:textId="0D4C4642"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1B687F" w:rsidRPr="00305318" w14:paraId="3C389EFA" w14:textId="77777777" w:rsidTr="001B687F">
        <w:trPr>
          <w:jc w:val="center"/>
        </w:trPr>
        <w:tc>
          <w:tcPr>
            <w:tcW w:w="1980" w:type="dxa"/>
            <w:shd w:val="clear" w:color="auto" w:fill="DAEEF3"/>
            <w:vAlign w:val="center"/>
          </w:tcPr>
          <w:p w14:paraId="7DAA390D" w14:textId="706CEAB4"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shd w:val="clear" w:color="auto" w:fill="DAEEF3"/>
            <w:vAlign w:val="center"/>
          </w:tcPr>
          <w:p w14:paraId="065B9665" w14:textId="35E7E4DB"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Average</w:t>
            </w:r>
          </w:p>
        </w:tc>
        <w:tc>
          <w:tcPr>
            <w:tcW w:w="1383" w:type="dxa"/>
            <w:shd w:val="clear" w:color="auto" w:fill="DAEEF3"/>
            <w:vAlign w:val="center"/>
          </w:tcPr>
          <w:p w14:paraId="02A55F1C" w14:textId="161DBB79"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-0.333</w:t>
            </w:r>
          </w:p>
        </w:tc>
        <w:tc>
          <w:tcPr>
            <w:tcW w:w="850" w:type="dxa"/>
            <w:shd w:val="clear" w:color="auto" w:fill="DAEEF3"/>
            <w:vAlign w:val="center"/>
          </w:tcPr>
          <w:p w14:paraId="1D3E746A" w14:textId="2E4C6205"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0.146</w:t>
            </w:r>
          </w:p>
        </w:tc>
        <w:tc>
          <w:tcPr>
            <w:tcW w:w="1027" w:type="dxa"/>
            <w:shd w:val="clear" w:color="auto" w:fill="DAEEF3"/>
            <w:vAlign w:val="center"/>
          </w:tcPr>
          <w:p w14:paraId="0004C5AE" w14:textId="53FF3113"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-2.279</w:t>
            </w:r>
          </w:p>
        </w:tc>
        <w:tc>
          <w:tcPr>
            <w:tcW w:w="858" w:type="dxa"/>
            <w:shd w:val="clear" w:color="auto" w:fill="DAEEF3"/>
            <w:vAlign w:val="center"/>
          </w:tcPr>
          <w:p w14:paraId="52204D0C" w14:textId="422FF7BE"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0.191</w:t>
            </w:r>
          </w:p>
        </w:tc>
      </w:tr>
      <w:tr w:rsidR="00712474" w:rsidRPr="00305318" w14:paraId="1C7847B2" w14:textId="77777777" w:rsidTr="00C61DDD">
        <w:trPr>
          <w:jc w:val="center"/>
        </w:trPr>
        <w:tc>
          <w:tcPr>
            <w:tcW w:w="1980" w:type="dxa"/>
            <w:vAlign w:val="center"/>
          </w:tcPr>
          <w:p w14:paraId="6337A772" w14:textId="1D74FD9E"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vAlign w:val="center"/>
          </w:tcPr>
          <w:p w14:paraId="691FBD51" w14:textId="1C43755C"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Average</w:t>
            </w:r>
          </w:p>
        </w:tc>
        <w:tc>
          <w:tcPr>
            <w:tcW w:w="1383" w:type="dxa"/>
            <w:vAlign w:val="center"/>
          </w:tcPr>
          <w:p w14:paraId="01AEC4C4" w14:textId="0DADDC90"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-1.548</w:t>
            </w:r>
          </w:p>
        </w:tc>
        <w:tc>
          <w:tcPr>
            <w:tcW w:w="850" w:type="dxa"/>
            <w:vAlign w:val="center"/>
          </w:tcPr>
          <w:p w14:paraId="28BF3BBE" w14:textId="43592B30"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vAlign w:val="center"/>
          </w:tcPr>
          <w:p w14:paraId="4B63A5C4" w14:textId="000A84EA"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-6.217</w:t>
            </w:r>
          </w:p>
        </w:tc>
        <w:tc>
          <w:tcPr>
            <w:tcW w:w="858" w:type="dxa"/>
            <w:vAlign w:val="center"/>
          </w:tcPr>
          <w:p w14:paraId="48DB3475" w14:textId="453FFC7B"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1B687F" w:rsidRPr="00305318" w14:paraId="5F3BA363" w14:textId="77777777" w:rsidTr="001B687F">
        <w:trPr>
          <w:jc w:val="center"/>
        </w:trPr>
        <w:tc>
          <w:tcPr>
            <w:tcW w:w="1980" w:type="dxa"/>
            <w:shd w:val="clear" w:color="auto" w:fill="DAEEF3"/>
            <w:vAlign w:val="center"/>
          </w:tcPr>
          <w:p w14:paraId="4D632D50" w14:textId="2C32648D"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Pulleys</w:t>
            </w:r>
          </w:p>
        </w:tc>
        <w:tc>
          <w:tcPr>
            <w:tcW w:w="2693" w:type="dxa"/>
            <w:shd w:val="clear" w:color="auto" w:fill="DAEEF3"/>
            <w:vAlign w:val="center"/>
          </w:tcPr>
          <w:p w14:paraId="70CE31FF" w14:textId="62FA0F0E"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Inclined planes</w:t>
            </w:r>
          </w:p>
        </w:tc>
        <w:tc>
          <w:tcPr>
            <w:tcW w:w="1383" w:type="dxa"/>
            <w:shd w:val="clear" w:color="auto" w:fill="DAEEF3"/>
            <w:vAlign w:val="center"/>
          </w:tcPr>
          <w:p w14:paraId="3160FEF8" w14:textId="61F33E5A"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0.144</w:t>
            </w:r>
          </w:p>
        </w:tc>
        <w:tc>
          <w:tcPr>
            <w:tcW w:w="850" w:type="dxa"/>
            <w:shd w:val="clear" w:color="auto" w:fill="DAEEF3"/>
            <w:vAlign w:val="center"/>
          </w:tcPr>
          <w:p w14:paraId="71224955" w14:textId="4EDAB451"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shd w:val="clear" w:color="auto" w:fill="DAEEF3"/>
            <w:vAlign w:val="center"/>
          </w:tcPr>
          <w:p w14:paraId="4B642888" w14:textId="2E99C4C6"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0.579</w:t>
            </w:r>
          </w:p>
        </w:tc>
        <w:tc>
          <w:tcPr>
            <w:tcW w:w="858" w:type="dxa"/>
            <w:shd w:val="clear" w:color="auto" w:fill="DAEEF3"/>
            <w:vAlign w:val="center"/>
          </w:tcPr>
          <w:p w14:paraId="5C73BD8D" w14:textId="42C5C6F6"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1.000</w:t>
            </w:r>
          </w:p>
        </w:tc>
      </w:tr>
      <w:tr w:rsidR="00712474" w:rsidRPr="00305318" w14:paraId="0934CE9E" w14:textId="77777777" w:rsidTr="00C61DDD">
        <w:trPr>
          <w:jc w:val="center"/>
        </w:trPr>
        <w:tc>
          <w:tcPr>
            <w:tcW w:w="1980" w:type="dxa"/>
            <w:vAlign w:val="center"/>
          </w:tcPr>
          <w:p w14:paraId="0DF7ECA7" w14:textId="24483A02"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vAlign w:val="center"/>
          </w:tcPr>
          <w:p w14:paraId="7B3E746B" w14:textId="2E20749D"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Inclined planes</w:t>
            </w:r>
          </w:p>
        </w:tc>
        <w:tc>
          <w:tcPr>
            <w:tcW w:w="1383" w:type="dxa"/>
            <w:vAlign w:val="center"/>
          </w:tcPr>
          <w:p w14:paraId="26051E17" w14:textId="4BABEBD2"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-1.129</w:t>
            </w:r>
          </w:p>
        </w:tc>
        <w:tc>
          <w:tcPr>
            <w:tcW w:w="850" w:type="dxa"/>
            <w:vAlign w:val="center"/>
          </w:tcPr>
          <w:p w14:paraId="2D601D84" w14:textId="37446623"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0.144</w:t>
            </w:r>
          </w:p>
        </w:tc>
        <w:tc>
          <w:tcPr>
            <w:tcW w:w="1027" w:type="dxa"/>
            <w:vAlign w:val="center"/>
          </w:tcPr>
          <w:p w14:paraId="5B591D87" w14:textId="5C1EA982"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-7.863</w:t>
            </w:r>
          </w:p>
        </w:tc>
        <w:tc>
          <w:tcPr>
            <w:tcW w:w="858" w:type="dxa"/>
            <w:vAlign w:val="center"/>
          </w:tcPr>
          <w:p w14:paraId="04CEB650" w14:textId="386EA1C3"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1B687F" w:rsidRPr="00305318" w14:paraId="11144186" w14:textId="77777777" w:rsidTr="001B687F">
        <w:trPr>
          <w:jc w:val="center"/>
        </w:trPr>
        <w:tc>
          <w:tcPr>
            <w:tcW w:w="1980" w:type="dxa"/>
            <w:shd w:val="clear" w:color="auto" w:fill="DAEEF3"/>
            <w:vAlign w:val="center"/>
          </w:tcPr>
          <w:p w14:paraId="49E735AD" w14:textId="01E62ED4"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shd w:val="clear" w:color="auto" w:fill="DAEEF3"/>
            <w:vAlign w:val="center"/>
          </w:tcPr>
          <w:p w14:paraId="4603031E" w14:textId="2E266D6C"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Levers</w:t>
            </w:r>
          </w:p>
        </w:tc>
        <w:tc>
          <w:tcPr>
            <w:tcW w:w="1383" w:type="dxa"/>
            <w:shd w:val="clear" w:color="auto" w:fill="DAEEF3"/>
            <w:vAlign w:val="center"/>
          </w:tcPr>
          <w:p w14:paraId="7C9B647F" w14:textId="1D82AB10"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0.144</w:t>
            </w:r>
          </w:p>
        </w:tc>
        <w:tc>
          <w:tcPr>
            <w:tcW w:w="850" w:type="dxa"/>
            <w:shd w:val="clear" w:color="auto" w:fill="DAEEF3"/>
            <w:vAlign w:val="center"/>
          </w:tcPr>
          <w:p w14:paraId="706B4ABA" w14:textId="560F16F8"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shd w:val="clear" w:color="auto" w:fill="DAEEF3"/>
            <w:vAlign w:val="center"/>
          </w:tcPr>
          <w:p w14:paraId="5F1EC5AB" w14:textId="1F59D5F1"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0.579</w:t>
            </w:r>
          </w:p>
        </w:tc>
        <w:tc>
          <w:tcPr>
            <w:tcW w:w="858" w:type="dxa"/>
            <w:shd w:val="clear" w:color="auto" w:fill="DAEEF3"/>
            <w:vAlign w:val="center"/>
          </w:tcPr>
          <w:p w14:paraId="3A9213F4" w14:textId="074079E1"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1.000</w:t>
            </w:r>
          </w:p>
        </w:tc>
      </w:tr>
      <w:tr w:rsidR="00712474" w:rsidRPr="00305318" w14:paraId="0234F0E1" w14:textId="77777777" w:rsidTr="00C61DDD">
        <w:trPr>
          <w:jc w:val="center"/>
        </w:trPr>
        <w:tc>
          <w:tcPr>
            <w:tcW w:w="1980" w:type="dxa"/>
            <w:vAlign w:val="center"/>
          </w:tcPr>
          <w:p w14:paraId="512268E7" w14:textId="769F3528"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vAlign w:val="center"/>
          </w:tcPr>
          <w:p w14:paraId="301F3ABD" w14:textId="13409F87"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Levers</w:t>
            </w:r>
          </w:p>
        </w:tc>
        <w:tc>
          <w:tcPr>
            <w:tcW w:w="1383" w:type="dxa"/>
            <w:vAlign w:val="center"/>
          </w:tcPr>
          <w:p w14:paraId="391D2FD0" w14:textId="38E93B23"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-1.581</w:t>
            </w:r>
          </w:p>
        </w:tc>
        <w:tc>
          <w:tcPr>
            <w:tcW w:w="850" w:type="dxa"/>
            <w:vAlign w:val="center"/>
          </w:tcPr>
          <w:p w14:paraId="2FC01F85" w14:textId="1BF10229"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0.144</w:t>
            </w:r>
          </w:p>
        </w:tc>
        <w:tc>
          <w:tcPr>
            <w:tcW w:w="1027" w:type="dxa"/>
            <w:vAlign w:val="center"/>
          </w:tcPr>
          <w:p w14:paraId="78860CCD" w14:textId="54713FBD"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-11.008</w:t>
            </w:r>
          </w:p>
        </w:tc>
        <w:tc>
          <w:tcPr>
            <w:tcW w:w="858" w:type="dxa"/>
            <w:vAlign w:val="center"/>
          </w:tcPr>
          <w:p w14:paraId="49A60C5C" w14:textId="4F905D84"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1B687F" w:rsidRPr="00305318" w14:paraId="66AF5FF2" w14:textId="77777777" w:rsidTr="001B687F">
        <w:trPr>
          <w:jc w:val="center"/>
        </w:trPr>
        <w:tc>
          <w:tcPr>
            <w:tcW w:w="1980" w:type="dxa"/>
            <w:shd w:val="clear" w:color="auto" w:fill="DAEEF3"/>
            <w:vAlign w:val="center"/>
          </w:tcPr>
          <w:p w14:paraId="440997D8" w14:textId="54C73DF0"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shd w:val="clear" w:color="auto" w:fill="DAEEF3"/>
            <w:vAlign w:val="center"/>
          </w:tcPr>
          <w:p w14:paraId="3F13047A" w14:textId="3134C8F9"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Average</w:t>
            </w:r>
          </w:p>
        </w:tc>
        <w:tc>
          <w:tcPr>
            <w:tcW w:w="1383" w:type="dxa"/>
            <w:shd w:val="clear" w:color="auto" w:fill="DAEEF3"/>
            <w:vAlign w:val="center"/>
          </w:tcPr>
          <w:p w14:paraId="579F7FFB" w14:textId="668E7BA3"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0.311</w:t>
            </w:r>
          </w:p>
        </w:tc>
        <w:tc>
          <w:tcPr>
            <w:tcW w:w="850" w:type="dxa"/>
            <w:shd w:val="clear" w:color="auto" w:fill="DAEEF3"/>
            <w:vAlign w:val="center"/>
          </w:tcPr>
          <w:p w14:paraId="1CFD9AD9" w14:textId="07EC9F1D"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shd w:val="clear" w:color="auto" w:fill="DAEEF3"/>
            <w:vAlign w:val="center"/>
          </w:tcPr>
          <w:p w14:paraId="482A486E" w14:textId="17A7108D"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1.250</w:t>
            </w:r>
          </w:p>
        </w:tc>
        <w:tc>
          <w:tcPr>
            <w:tcW w:w="858" w:type="dxa"/>
            <w:shd w:val="clear" w:color="auto" w:fill="DAEEF3"/>
            <w:vAlign w:val="center"/>
          </w:tcPr>
          <w:p w14:paraId="19297662" w14:textId="7060744E"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1.000</w:t>
            </w:r>
          </w:p>
        </w:tc>
      </w:tr>
      <w:tr w:rsidR="00712474" w:rsidRPr="00305318" w14:paraId="6D40D3BB" w14:textId="77777777" w:rsidTr="00C61DDD">
        <w:trPr>
          <w:jc w:val="center"/>
        </w:trPr>
        <w:tc>
          <w:tcPr>
            <w:tcW w:w="1980" w:type="dxa"/>
            <w:vAlign w:val="center"/>
          </w:tcPr>
          <w:p w14:paraId="7100B8A7" w14:textId="7A9FFB13"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vAlign w:val="center"/>
          </w:tcPr>
          <w:p w14:paraId="43B8D488" w14:textId="510EC482"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Average</w:t>
            </w:r>
          </w:p>
        </w:tc>
        <w:tc>
          <w:tcPr>
            <w:tcW w:w="1383" w:type="dxa"/>
            <w:vAlign w:val="center"/>
          </w:tcPr>
          <w:p w14:paraId="24BE349C" w14:textId="032A18D3"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-0.904</w:t>
            </w:r>
          </w:p>
        </w:tc>
        <w:tc>
          <w:tcPr>
            <w:tcW w:w="850" w:type="dxa"/>
            <w:vAlign w:val="center"/>
          </w:tcPr>
          <w:p w14:paraId="2FF4F7ED" w14:textId="1BA0C233"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0.144</w:t>
            </w:r>
          </w:p>
        </w:tc>
        <w:tc>
          <w:tcPr>
            <w:tcW w:w="1027" w:type="dxa"/>
            <w:vAlign w:val="center"/>
          </w:tcPr>
          <w:p w14:paraId="63D7FBDD" w14:textId="7F32B15C"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-6.297</w:t>
            </w:r>
          </w:p>
        </w:tc>
        <w:tc>
          <w:tcPr>
            <w:tcW w:w="858" w:type="dxa"/>
            <w:vAlign w:val="center"/>
          </w:tcPr>
          <w:p w14:paraId="6FE63309" w14:textId="3F5ACEFE"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1B687F" w:rsidRPr="00305318" w14:paraId="64BAF3D5" w14:textId="77777777" w:rsidTr="001B687F">
        <w:trPr>
          <w:jc w:val="center"/>
        </w:trPr>
        <w:tc>
          <w:tcPr>
            <w:tcW w:w="1980" w:type="dxa"/>
            <w:shd w:val="clear" w:color="auto" w:fill="DAEEF3"/>
            <w:vAlign w:val="center"/>
          </w:tcPr>
          <w:p w14:paraId="6B07A9B0" w14:textId="666FEE67"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Inclined planes</w:t>
            </w:r>
          </w:p>
        </w:tc>
        <w:tc>
          <w:tcPr>
            <w:tcW w:w="2693" w:type="dxa"/>
            <w:shd w:val="clear" w:color="auto" w:fill="DAEEF3"/>
            <w:vAlign w:val="center"/>
          </w:tcPr>
          <w:p w14:paraId="2005AF6A" w14:textId="3E959714"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Inclined planes</w:t>
            </w:r>
          </w:p>
        </w:tc>
        <w:tc>
          <w:tcPr>
            <w:tcW w:w="1383" w:type="dxa"/>
            <w:shd w:val="clear" w:color="auto" w:fill="DAEEF3"/>
            <w:vAlign w:val="center"/>
          </w:tcPr>
          <w:p w14:paraId="15272D55" w14:textId="01070CC1"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-1.273</w:t>
            </w:r>
          </w:p>
        </w:tc>
        <w:tc>
          <w:tcPr>
            <w:tcW w:w="850" w:type="dxa"/>
            <w:shd w:val="clear" w:color="auto" w:fill="DAEEF3"/>
            <w:vAlign w:val="center"/>
          </w:tcPr>
          <w:p w14:paraId="1B02D5B8" w14:textId="0146EDE1"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shd w:val="clear" w:color="auto" w:fill="DAEEF3"/>
            <w:vAlign w:val="center"/>
          </w:tcPr>
          <w:p w14:paraId="56CDC464" w14:textId="56CB02D8"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-5.112</w:t>
            </w:r>
          </w:p>
        </w:tc>
        <w:tc>
          <w:tcPr>
            <w:tcW w:w="858" w:type="dxa"/>
            <w:shd w:val="clear" w:color="auto" w:fill="DAEEF3"/>
            <w:vAlign w:val="center"/>
          </w:tcPr>
          <w:p w14:paraId="2EF41449" w14:textId="19C3CD74"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712474" w:rsidRPr="00305318" w14:paraId="3D7C7A78" w14:textId="77777777" w:rsidTr="00C61DDD">
        <w:trPr>
          <w:jc w:val="center"/>
        </w:trPr>
        <w:tc>
          <w:tcPr>
            <w:tcW w:w="1980" w:type="dxa"/>
            <w:vAlign w:val="center"/>
          </w:tcPr>
          <w:p w14:paraId="55B8EAC2" w14:textId="4C93F893"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vAlign w:val="center"/>
          </w:tcPr>
          <w:p w14:paraId="3212F79C" w14:textId="058D11C8"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Levers</w:t>
            </w:r>
          </w:p>
        </w:tc>
        <w:tc>
          <w:tcPr>
            <w:tcW w:w="1383" w:type="dxa"/>
            <w:vAlign w:val="center"/>
          </w:tcPr>
          <w:p w14:paraId="1CB1DB10" w14:textId="1E156EF5"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-1.725</w:t>
            </w:r>
          </w:p>
        </w:tc>
        <w:tc>
          <w:tcPr>
            <w:tcW w:w="850" w:type="dxa"/>
            <w:vAlign w:val="center"/>
          </w:tcPr>
          <w:p w14:paraId="6E2DC1E9" w14:textId="118B0BFD"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vAlign w:val="center"/>
          </w:tcPr>
          <w:p w14:paraId="6C750453" w14:textId="33C31D3C"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-6.926</w:t>
            </w:r>
          </w:p>
        </w:tc>
        <w:tc>
          <w:tcPr>
            <w:tcW w:w="858" w:type="dxa"/>
            <w:vAlign w:val="center"/>
          </w:tcPr>
          <w:p w14:paraId="6033C795" w14:textId="28F46D2F"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1B687F" w:rsidRPr="00305318" w14:paraId="6654FBBA" w14:textId="77777777" w:rsidTr="001B687F">
        <w:trPr>
          <w:jc w:val="center"/>
        </w:trPr>
        <w:tc>
          <w:tcPr>
            <w:tcW w:w="1980" w:type="dxa"/>
            <w:shd w:val="clear" w:color="auto" w:fill="DAEEF3"/>
            <w:vAlign w:val="center"/>
          </w:tcPr>
          <w:p w14:paraId="6B73112D" w14:textId="63B406BA"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shd w:val="clear" w:color="auto" w:fill="DAEEF3"/>
            <w:vAlign w:val="center"/>
          </w:tcPr>
          <w:p w14:paraId="3866E568" w14:textId="0FEFC6DA"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Average</w:t>
            </w:r>
          </w:p>
        </w:tc>
        <w:tc>
          <w:tcPr>
            <w:tcW w:w="1383" w:type="dxa"/>
            <w:shd w:val="clear" w:color="auto" w:fill="DAEEF3"/>
            <w:vAlign w:val="center"/>
          </w:tcPr>
          <w:p w14:paraId="5E7B9C93" w14:textId="374E6C27"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0.167</w:t>
            </w:r>
          </w:p>
        </w:tc>
        <w:tc>
          <w:tcPr>
            <w:tcW w:w="850" w:type="dxa"/>
            <w:shd w:val="clear" w:color="auto" w:fill="DAEEF3"/>
            <w:vAlign w:val="center"/>
          </w:tcPr>
          <w:p w14:paraId="47328C6B" w14:textId="1E57B48D"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0.146</w:t>
            </w:r>
          </w:p>
        </w:tc>
        <w:tc>
          <w:tcPr>
            <w:tcW w:w="1027" w:type="dxa"/>
            <w:shd w:val="clear" w:color="auto" w:fill="DAEEF3"/>
            <w:vAlign w:val="center"/>
          </w:tcPr>
          <w:p w14:paraId="7941B69D" w14:textId="5F456115"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1.146</w:t>
            </w:r>
          </w:p>
        </w:tc>
        <w:tc>
          <w:tcPr>
            <w:tcW w:w="858" w:type="dxa"/>
            <w:shd w:val="clear" w:color="auto" w:fill="DAEEF3"/>
            <w:vAlign w:val="center"/>
          </w:tcPr>
          <w:p w14:paraId="6907ABC1" w14:textId="440D6842"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1.000</w:t>
            </w:r>
          </w:p>
        </w:tc>
      </w:tr>
      <w:tr w:rsidR="00712474" w:rsidRPr="00305318" w14:paraId="222B9A1F" w14:textId="77777777" w:rsidTr="00C61DDD">
        <w:trPr>
          <w:jc w:val="center"/>
        </w:trPr>
        <w:tc>
          <w:tcPr>
            <w:tcW w:w="1980" w:type="dxa"/>
            <w:vAlign w:val="center"/>
          </w:tcPr>
          <w:p w14:paraId="654A0EFF" w14:textId="0C72F9EC"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vAlign w:val="center"/>
          </w:tcPr>
          <w:p w14:paraId="652E3336" w14:textId="7CAC5E93"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Average</w:t>
            </w:r>
          </w:p>
        </w:tc>
        <w:tc>
          <w:tcPr>
            <w:tcW w:w="1383" w:type="dxa"/>
            <w:vAlign w:val="center"/>
          </w:tcPr>
          <w:p w14:paraId="386F9202" w14:textId="5697D43B"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-1.048</w:t>
            </w:r>
          </w:p>
        </w:tc>
        <w:tc>
          <w:tcPr>
            <w:tcW w:w="850" w:type="dxa"/>
            <w:vAlign w:val="center"/>
          </w:tcPr>
          <w:p w14:paraId="2B412614" w14:textId="25B659EE"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vAlign w:val="center"/>
          </w:tcPr>
          <w:p w14:paraId="7D5E8E73" w14:textId="03AA5E1D"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-4.209</w:t>
            </w:r>
          </w:p>
        </w:tc>
        <w:tc>
          <w:tcPr>
            <w:tcW w:w="858" w:type="dxa"/>
            <w:vAlign w:val="center"/>
          </w:tcPr>
          <w:p w14:paraId="2F8BD308" w14:textId="5165910E"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1B687F" w:rsidRPr="00305318" w14:paraId="5D7FC0C2" w14:textId="77777777" w:rsidTr="001B687F">
        <w:trPr>
          <w:jc w:val="center"/>
        </w:trPr>
        <w:tc>
          <w:tcPr>
            <w:tcW w:w="1980" w:type="dxa"/>
            <w:shd w:val="clear" w:color="auto" w:fill="DAEEF3"/>
            <w:vAlign w:val="center"/>
          </w:tcPr>
          <w:p w14:paraId="7DC46449" w14:textId="31EA78E0"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Inclined planes</w:t>
            </w:r>
          </w:p>
        </w:tc>
        <w:tc>
          <w:tcPr>
            <w:tcW w:w="2693" w:type="dxa"/>
            <w:shd w:val="clear" w:color="auto" w:fill="DAEEF3"/>
            <w:vAlign w:val="center"/>
          </w:tcPr>
          <w:p w14:paraId="72483A3B" w14:textId="7BB5353E"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Levers</w:t>
            </w:r>
          </w:p>
        </w:tc>
        <w:tc>
          <w:tcPr>
            <w:tcW w:w="1383" w:type="dxa"/>
            <w:shd w:val="clear" w:color="auto" w:fill="DAEEF3"/>
            <w:vAlign w:val="center"/>
          </w:tcPr>
          <w:p w14:paraId="57EED10F" w14:textId="19B5C0E4"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1.273</w:t>
            </w:r>
          </w:p>
        </w:tc>
        <w:tc>
          <w:tcPr>
            <w:tcW w:w="850" w:type="dxa"/>
            <w:shd w:val="clear" w:color="auto" w:fill="DAEEF3"/>
            <w:vAlign w:val="center"/>
          </w:tcPr>
          <w:p w14:paraId="7FD70E60" w14:textId="5FA4D357"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shd w:val="clear" w:color="auto" w:fill="DAEEF3"/>
            <w:vAlign w:val="center"/>
          </w:tcPr>
          <w:p w14:paraId="784F8896" w14:textId="39E93F33"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5.112</w:t>
            </w:r>
          </w:p>
        </w:tc>
        <w:tc>
          <w:tcPr>
            <w:tcW w:w="858" w:type="dxa"/>
            <w:shd w:val="clear" w:color="auto" w:fill="DAEEF3"/>
            <w:vAlign w:val="center"/>
          </w:tcPr>
          <w:p w14:paraId="1E37CB52" w14:textId="407AA133"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712474" w:rsidRPr="00305318" w14:paraId="0E35E231" w14:textId="77777777" w:rsidTr="00C61DDD">
        <w:trPr>
          <w:jc w:val="center"/>
        </w:trPr>
        <w:tc>
          <w:tcPr>
            <w:tcW w:w="1980" w:type="dxa"/>
            <w:vAlign w:val="center"/>
          </w:tcPr>
          <w:p w14:paraId="0912C69E" w14:textId="0B2BEE50"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vAlign w:val="center"/>
          </w:tcPr>
          <w:p w14:paraId="305A63B5" w14:textId="71C897DD"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Levers</w:t>
            </w:r>
          </w:p>
        </w:tc>
        <w:tc>
          <w:tcPr>
            <w:tcW w:w="1383" w:type="dxa"/>
            <w:vAlign w:val="center"/>
          </w:tcPr>
          <w:p w14:paraId="16AFD519" w14:textId="6CB59C0E"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-0.452</w:t>
            </w:r>
          </w:p>
        </w:tc>
        <w:tc>
          <w:tcPr>
            <w:tcW w:w="850" w:type="dxa"/>
            <w:vAlign w:val="center"/>
          </w:tcPr>
          <w:p w14:paraId="728ED85A" w14:textId="514CAAED"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0.144</w:t>
            </w:r>
          </w:p>
        </w:tc>
        <w:tc>
          <w:tcPr>
            <w:tcW w:w="1027" w:type="dxa"/>
            <w:vAlign w:val="center"/>
          </w:tcPr>
          <w:p w14:paraId="6D0EDE57" w14:textId="442A5800"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-3.145</w:t>
            </w:r>
          </w:p>
        </w:tc>
        <w:tc>
          <w:tcPr>
            <w:tcW w:w="858" w:type="dxa"/>
            <w:vAlign w:val="center"/>
          </w:tcPr>
          <w:p w14:paraId="6E74B44D" w14:textId="3B86F692"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0.019</w:t>
            </w:r>
          </w:p>
        </w:tc>
      </w:tr>
      <w:tr w:rsidR="001B687F" w:rsidRPr="00305318" w14:paraId="08F196C3" w14:textId="77777777" w:rsidTr="001B687F">
        <w:trPr>
          <w:jc w:val="center"/>
        </w:trPr>
        <w:tc>
          <w:tcPr>
            <w:tcW w:w="1980" w:type="dxa"/>
            <w:shd w:val="clear" w:color="auto" w:fill="DAEEF3"/>
            <w:vAlign w:val="center"/>
          </w:tcPr>
          <w:p w14:paraId="44331AC9" w14:textId="2F622ABC"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shd w:val="clear" w:color="auto" w:fill="DAEEF3"/>
            <w:vAlign w:val="center"/>
          </w:tcPr>
          <w:p w14:paraId="77977891" w14:textId="3776DB5E"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Average</w:t>
            </w:r>
          </w:p>
        </w:tc>
        <w:tc>
          <w:tcPr>
            <w:tcW w:w="1383" w:type="dxa"/>
            <w:shd w:val="clear" w:color="auto" w:fill="DAEEF3"/>
            <w:vAlign w:val="center"/>
          </w:tcPr>
          <w:p w14:paraId="08F953EE" w14:textId="0E30ABE4"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1.440</w:t>
            </w:r>
          </w:p>
        </w:tc>
        <w:tc>
          <w:tcPr>
            <w:tcW w:w="850" w:type="dxa"/>
            <w:shd w:val="clear" w:color="auto" w:fill="DAEEF3"/>
            <w:vAlign w:val="center"/>
          </w:tcPr>
          <w:p w14:paraId="601591AC" w14:textId="05462111"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shd w:val="clear" w:color="auto" w:fill="DAEEF3"/>
            <w:vAlign w:val="center"/>
          </w:tcPr>
          <w:p w14:paraId="368266E0" w14:textId="277ED4FD"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5.784</w:t>
            </w:r>
          </w:p>
        </w:tc>
        <w:tc>
          <w:tcPr>
            <w:tcW w:w="858" w:type="dxa"/>
            <w:shd w:val="clear" w:color="auto" w:fill="DAEEF3"/>
            <w:vAlign w:val="center"/>
          </w:tcPr>
          <w:p w14:paraId="43B16EB9" w14:textId="43AE1F19"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712474" w:rsidRPr="00305318" w14:paraId="3C8C0C99" w14:textId="77777777" w:rsidTr="00C61DDD">
        <w:trPr>
          <w:jc w:val="center"/>
        </w:trPr>
        <w:tc>
          <w:tcPr>
            <w:tcW w:w="1980" w:type="dxa"/>
            <w:vAlign w:val="center"/>
          </w:tcPr>
          <w:p w14:paraId="37316B5E" w14:textId="640E468F"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vAlign w:val="center"/>
          </w:tcPr>
          <w:p w14:paraId="7DF0B549" w14:textId="65CA7625"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Average</w:t>
            </w:r>
          </w:p>
        </w:tc>
        <w:tc>
          <w:tcPr>
            <w:tcW w:w="1383" w:type="dxa"/>
            <w:vAlign w:val="center"/>
          </w:tcPr>
          <w:p w14:paraId="16679DF2" w14:textId="7C3F0565"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0.225</w:t>
            </w:r>
          </w:p>
        </w:tc>
        <w:tc>
          <w:tcPr>
            <w:tcW w:w="850" w:type="dxa"/>
            <w:vAlign w:val="center"/>
          </w:tcPr>
          <w:p w14:paraId="2022FA19" w14:textId="6E6F29EB"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0.144</w:t>
            </w:r>
          </w:p>
        </w:tc>
        <w:tc>
          <w:tcPr>
            <w:tcW w:w="1027" w:type="dxa"/>
            <w:vAlign w:val="center"/>
          </w:tcPr>
          <w:p w14:paraId="78E158DC" w14:textId="47BDB158"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1.566</w:t>
            </w:r>
          </w:p>
        </w:tc>
        <w:tc>
          <w:tcPr>
            <w:tcW w:w="858" w:type="dxa"/>
            <w:vAlign w:val="center"/>
          </w:tcPr>
          <w:p w14:paraId="781AF092" w14:textId="09EBD6AE"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0.834</w:t>
            </w:r>
          </w:p>
        </w:tc>
      </w:tr>
      <w:tr w:rsidR="001B687F" w:rsidRPr="00305318" w14:paraId="65089869" w14:textId="77777777" w:rsidTr="001B687F">
        <w:trPr>
          <w:jc w:val="center"/>
        </w:trPr>
        <w:tc>
          <w:tcPr>
            <w:tcW w:w="1980" w:type="dxa"/>
            <w:shd w:val="clear" w:color="auto" w:fill="DAEEF3"/>
            <w:vAlign w:val="center"/>
          </w:tcPr>
          <w:p w14:paraId="63CC1149" w14:textId="12B5DB1B"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Levers</w:t>
            </w:r>
          </w:p>
        </w:tc>
        <w:tc>
          <w:tcPr>
            <w:tcW w:w="2693" w:type="dxa"/>
            <w:shd w:val="clear" w:color="auto" w:fill="DAEEF3"/>
            <w:vAlign w:val="center"/>
          </w:tcPr>
          <w:p w14:paraId="26C01734" w14:textId="232350D8"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Levers</w:t>
            </w:r>
          </w:p>
        </w:tc>
        <w:tc>
          <w:tcPr>
            <w:tcW w:w="1383" w:type="dxa"/>
            <w:shd w:val="clear" w:color="auto" w:fill="DAEEF3"/>
            <w:vAlign w:val="center"/>
          </w:tcPr>
          <w:p w14:paraId="3246FF22" w14:textId="18BEDD0B"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-1.725</w:t>
            </w:r>
          </w:p>
        </w:tc>
        <w:tc>
          <w:tcPr>
            <w:tcW w:w="850" w:type="dxa"/>
            <w:shd w:val="clear" w:color="auto" w:fill="DAEEF3"/>
            <w:vAlign w:val="center"/>
          </w:tcPr>
          <w:p w14:paraId="68B67BA3" w14:textId="39A804AC"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shd w:val="clear" w:color="auto" w:fill="DAEEF3"/>
            <w:vAlign w:val="center"/>
          </w:tcPr>
          <w:p w14:paraId="3BB21693" w14:textId="53496917"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-6.926</w:t>
            </w:r>
          </w:p>
        </w:tc>
        <w:tc>
          <w:tcPr>
            <w:tcW w:w="858" w:type="dxa"/>
            <w:shd w:val="clear" w:color="auto" w:fill="DAEEF3"/>
            <w:vAlign w:val="center"/>
          </w:tcPr>
          <w:p w14:paraId="3A18D0A2" w14:textId="37978776"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712474" w:rsidRPr="00305318" w14:paraId="03D66FD8" w14:textId="77777777" w:rsidTr="00C61DDD">
        <w:trPr>
          <w:jc w:val="center"/>
        </w:trPr>
        <w:tc>
          <w:tcPr>
            <w:tcW w:w="1980" w:type="dxa"/>
            <w:vAlign w:val="center"/>
          </w:tcPr>
          <w:p w14:paraId="15CBF1E1" w14:textId="65A357A6"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vAlign w:val="center"/>
          </w:tcPr>
          <w:p w14:paraId="4C0AF045" w14:textId="1CE13B6C"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Average</w:t>
            </w:r>
          </w:p>
        </w:tc>
        <w:tc>
          <w:tcPr>
            <w:tcW w:w="1383" w:type="dxa"/>
            <w:vAlign w:val="center"/>
          </w:tcPr>
          <w:p w14:paraId="5AB0755C" w14:textId="6D32B174"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0.167</w:t>
            </w:r>
          </w:p>
        </w:tc>
        <w:tc>
          <w:tcPr>
            <w:tcW w:w="850" w:type="dxa"/>
            <w:vAlign w:val="center"/>
          </w:tcPr>
          <w:p w14:paraId="3E9332A6" w14:textId="7DC80E53"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0.146</w:t>
            </w:r>
          </w:p>
        </w:tc>
        <w:tc>
          <w:tcPr>
            <w:tcW w:w="1027" w:type="dxa"/>
            <w:vAlign w:val="center"/>
          </w:tcPr>
          <w:p w14:paraId="300AD72F" w14:textId="42517551"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1.146</w:t>
            </w:r>
          </w:p>
        </w:tc>
        <w:tc>
          <w:tcPr>
            <w:tcW w:w="858" w:type="dxa"/>
            <w:vAlign w:val="center"/>
          </w:tcPr>
          <w:p w14:paraId="2AEDE77D" w14:textId="4B3480D3"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1.000</w:t>
            </w:r>
          </w:p>
        </w:tc>
      </w:tr>
      <w:tr w:rsidR="001B687F" w:rsidRPr="00305318" w14:paraId="05B384A6" w14:textId="77777777" w:rsidTr="001B687F">
        <w:trPr>
          <w:jc w:val="center"/>
        </w:trPr>
        <w:tc>
          <w:tcPr>
            <w:tcW w:w="1980" w:type="dxa"/>
            <w:shd w:val="clear" w:color="auto" w:fill="DAEEF3"/>
            <w:vAlign w:val="center"/>
          </w:tcPr>
          <w:p w14:paraId="548D653E" w14:textId="46666807"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shd w:val="clear" w:color="auto" w:fill="DAEEF3"/>
            <w:vAlign w:val="center"/>
          </w:tcPr>
          <w:p w14:paraId="4F71E911" w14:textId="07B1669E"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Average</w:t>
            </w:r>
          </w:p>
        </w:tc>
        <w:tc>
          <w:tcPr>
            <w:tcW w:w="1383" w:type="dxa"/>
            <w:shd w:val="clear" w:color="auto" w:fill="DAEEF3"/>
            <w:vAlign w:val="center"/>
          </w:tcPr>
          <w:p w14:paraId="60072071" w14:textId="4CCEB3C3"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-1.048</w:t>
            </w:r>
          </w:p>
        </w:tc>
        <w:tc>
          <w:tcPr>
            <w:tcW w:w="850" w:type="dxa"/>
            <w:shd w:val="clear" w:color="auto" w:fill="DAEEF3"/>
            <w:vAlign w:val="center"/>
          </w:tcPr>
          <w:p w14:paraId="0C748524" w14:textId="7EDA902B"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shd w:val="clear" w:color="auto" w:fill="DAEEF3"/>
            <w:vAlign w:val="center"/>
          </w:tcPr>
          <w:p w14:paraId="6D2473BE" w14:textId="4A0E75B9"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-4.209</w:t>
            </w:r>
          </w:p>
        </w:tc>
        <w:tc>
          <w:tcPr>
            <w:tcW w:w="858" w:type="dxa"/>
            <w:shd w:val="clear" w:color="auto" w:fill="DAEEF3"/>
            <w:vAlign w:val="center"/>
          </w:tcPr>
          <w:p w14:paraId="2A792CAC" w14:textId="383EF904"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712474" w:rsidRPr="00305318" w14:paraId="7A569367" w14:textId="77777777" w:rsidTr="00C61DDD">
        <w:trPr>
          <w:jc w:val="center"/>
        </w:trPr>
        <w:tc>
          <w:tcPr>
            <w:tcW w:w="1980" w:type="dxa"/>
            <w:vAlign w:val="center"/>
          </w:tcPr>
          <w:p w14:paraId="52F496B1" w14:textId="61B19D85"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Levers</w:t>
            </w:r>
          </w:p>
        </w:tc>
        <w:tc>
          <w:tcPr>
            <w:tcW w:w="2693" w:type="dxa"/>
            <w:vAlign w:val="center"/>
          </w:tcPr>
          <w:p w14:paraId="0C45DB99" w14:textId="3BBA80B5"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Average</w:t>
            </w:r>
          </w:p>
        </w:tc>
        <w:tc>
          <w:tcPr>
            <w:tcW w:w="1383" w:type="dxa"/>
            <w:vAlign w:val="center"/>
          </w:tcPr>
          <w:p w14:paraId="6F062125" w14:textId="30D32D29"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1.892</w:t>
            </w:r>
          </w:p>
        </w:tc>
        <w:tc>
          <w:tcPr>
            <w:tcW w:w="850" w:type="dxa"/>
            <w:vAlign w:val="center"/>
          </w:tcPr>
          <w:p w14:paraId="59327ADB" w14:textId="21D9B1F1"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vAlign w:val="center"/>
          </w:tcPr>
          <w:p w14:paraId="00A00B7D" w14:textId="27C7171F"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7.598</w:t>
            </w:r>
          </w:p>
        </w:tc>
        <w:tc>
          <w:tcPr>
            <w:tcW w:w="858" w:type="dxa"/>
            <w:vAlign w:val="center"/>
          </w:tcPr>
          <w:p w14:paraId="16E56B6B" w14:textId="62E3EA8A"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1B687F" w:rsidRPr="00305318" w14:paraId="67222205" w14:textId="77777777" w:rsidTr="001B687F">
        <w:trPr>
          <w:jc w:val="center"/>
        </w:trPr>
        <w:tc>
          <w:tcPr>
            <w:tcW w:w="1980" w:type="dxa"/>
            <w:shd w:val="clear" w:color="auto" w:fill="DAEEF3"/>
            <w:vAlign w:val="center"/>
          </w:tcPr>
          <w:p w14:paraId="6661D036" w14:textId="75F4F45E"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 </w:t>
            </w:r>
          </w:p>
        </w:tc>
        <w:tc>
          <w:tcPr>
            <w:tcW w:w="2693" w:type="dxa"/>
            <w:shd w:val="clear" w:color="auto" w:fill="DAEEF3"/>
            <w:vAlign w:val="center"/>
          </w:tcPr>
          <w:p w14:paraId="517D9E87" w14:textId="7CE87A44"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Average</w:t>
            </w:r>
          </w:p>
        </w:tc>
        <w:tc>
          <w:tcPr>
            <w:tcW w:w="1383" w:type="dxa"/>
            <w:shd w:val="clear" w:color="auto" w:fill="DAEEF3"/>
            <w:vAlign w:val="center"/>
          </w:tcPr>
          <w:p w14:paraId="5B3784FF" w14:textId="30785842"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0.676</w:t>
            </w:r>
          </w:p>
        </w:tc>
        <w:tc>
          <w:tcPr>
            <w:tcW w:w="850" w:type="dxa"/>
            <w:shd w:val="clear" w:color="auto" w:fill="DAEEF3"/>
            <w:vAlign w:val="center"/>
          </w:tcPr>
          <w:p w14:paraId="7BF61050" w14:textId="378C28D1"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0.144</w:t>
            </w:r>
          </w:p>
        </w:tc>
        <w:tc>
          <w:tcPr>
            <w:tcW w:w="1027" w:type="dxa"/>
            <w:shd w:val="clear" w:color="auto" w:fill="DAEEF3"/>
            <w:vAlign w:val="center"/>
          </w:tcPr>
          <w:p w14:paraId="29DCB98F" w14:textId="1BCEBCBB"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4.711</w:t>
            </w:r>
          </w:p>
        </w:tc>
        <w:tc>
          <w:tcPr>
            <w:tcW w:w="858" w:type="dxa"/>
            <w:shd w:val="clear" w:color="auto" w:fill="DAEEF3"/>
            <w:vAlign w:val="center"/>
          </w:tcPr>
          <w:p w14:paraId="13C77D64" w14:textId="5CA99309"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r w:rsidR="00712474" w:rsidRPr="00305318" w14:paraId="4E382E0C" w14:textId="77777777" w:rsidTr="00C61DDD">
        <w:trPr>
          <w:jc w:val="center"/>
        </w:trPr>
        <w:tc>
          <w:tcPr>
            <w:tcW w:w="1980" w:type="dxa"/>
            <w:vAlign w:val="center"/>
          </w:tcPr>
          <w:p w14:paraId="237FF89A" w14:textId="514FC06B"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Control, Average</w:t>
            </w:r>
          </w:p>
        </w:tc>
        <w:tc>
          <w:tcPr>
            <w:tcW w:w="2693" w:type="dxa"/>
            <w:vAlign w:val="center"/>
          </w:tcPr>
          <w:p w14:paraId="7F70FD2A" w14:textId="7DA76CB9" w:rsidR="00712474" w:rsidRPr="00305318" w:rsidRDefault="00712474" w:rsidP="00B95F43">
            <w:pPr>
              <w:rPr>
                <w:rFonts w:ascii="Avenir Next LT Pro" w:hAnsi="Avenir Next LT Pro"/>
              </w:rPr>
            </w:pPr>
            <w:r w:rsidRPr="00305318">
              <w:rPr>
                <w:rFonts w:ascii="Avenir Next LT Pro" w:eastAsia="Times New Roman" w:hAnsi="Avenir Next LT Pro" w:cs="Times New Roman"/>
                <w:kern w:val="0"/>
                <w:lang w:eastAsia="en-ID"/>
                <w14:ligatures w14:val="none"/>
              </w:rPr>
              <w:t>Experimental, Average</w:t>
            </w:r>
          </w:p>
        </w:tc>
        <w:tc>
          <w:tcPr>
            <w:tcW w:w="1383" w:type="dxa"/>
            <w:vAlign w:val="center"/>
          </w:tcPr>
          <w:p w14:paraId="2CAD3091" w14:textId="13DEB811"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-1.216</w:t>
            </w:r>
          </w:p>
        </w:tc>
        <w:tc>
          <w:tcPr>
            <w:tcW w:w="850" w:type="dxa"/>
            <w:vAlign w:val="center"/>
          </w:tcPr>
          <w:p w14:paraId="0B2CEB58" w14:textId="1706B198"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0.249</w:t>
            </w:r>
          </w:p>
        </w:tc>
        <w:tc>
          <w:tcPr>
            <w:tcW w:w="1027" w:type="dxa"/>
            <w:vAlign w:val="center"/>
          </w:tcPr>
          <w:p w14:paraId="554D3914" w14:textId="652B1BD0"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-4.881</w:t>
            </w:r>
          </w:p>
        </w:tc>
        <w:tc>
          <w:tcPr>
            <w:tcW w:w="858" w:type="dxa"/>
            <w:vAlign w:val="center"/>
          </w:tcPr>
          <w:p w14:paraId="0E939141" w14:textId="707AB77A" w:rsidR="00712474" w:rsidRPr="00305318" w:rsidRDefault="00712474" w:rsidP="00B95F43">
            <w:pPr>
              <w:jc w:val="center"/>
              <w:rPr>
                <w:rFonts w:ascii="Avenir Next LT Pro" w:hAnsi="Avenir Next LT Pro"/>
              </w:rPr>
            </w:pPr>
            <w:r w:rsidRPr="00305318">
              <w:rPr>
                <w:rFonts w:ascii="Avenir Next LT Pro" w:eastAsia="Times New Roman" w:hAnsi="Avenir Next LT Pro" w:cs="Times New Roman"/>
                <w:kern w:val="0"/>
                <w:lang w:eastAsia="en-ID"/>
                <w14:ligatures w14:val="none"/>
              </w:rPr>
              <w:t>&lt; .001</w:t>
            </w:r>
          </w:p>
        </w:tc>
      </w:tr>
    </w:tbl>
    <w:p w14:paraId="2CD0DDBF" w14:textId="77777777" w:rsidR="00712474" w:rsidRPr="00837001" w:rsidRDefault="00712474" w:rsidP="00B95F43">
      <w:pPr>
        <w:spacing w:after="0" w:line="240" w:lineRule="auto"/>
        <w:jc w:val="both"/>
        <w:rPr>
          <w:rFonts w:ascii="Avenir Next LT Pro" w:hAnsi="Avenir Next LT Pro"/>
          <w:sz w:val="24"/>
          <w:szCs w:val="24"/>
        </w:rPr>
      </w:pPr>
    </w:p>
    <w:p w14:paraId="67BE972E" w14:textId="0ADDAD2B" w:rsidR="00712474" w:rsidRPr="00837001" w:rsidRDefault="00616734"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 xml:space="preserve">Table 3 provides the post-hoc comparisons, detailing the differences between groups and materials. The results show that the experimental group significantly outperformed the control group across most comparisons. For example, in the pulleys experiment, the experimental group scored significantly higher than the control group (Mean Diff. = -0.644, t = -2.586, </w:t>
      </w:r>
      <w:proofErr w:type="spellStart"/>
      <w:r w:rsidRPr="00837001">
        <w:rPr>
          <w:rFonts w:ascii="Avenir Next LT Pro" w:hAnsi="Avenir Next LT Pro"/>
          <w:sz w:val="24"/>
          <w:szCs w:val="24"/>
        </w:rPr>
        <w:t>pholm</w:t>
      </w:r>
      <w:proofErr w:type="spellEnd"/>
      <w:r w:rsidRPr="00837001">
        <w:rPr>
          <w:rFonts w:ascii="Avenir Next LT Pro" w:hAnsi="Avenir Next LT Pro"/>
          <w:sz w:val="24"/>
          <w:szCs w:val="24"/>
        </w:rPr>
        <w:t xml:space="preserve"> = 0.100). The differences were even more pronounced for inclined planes (Mean Diff. = -1.773, t = -7.120, </w:t>
      </w:r>
      <w:proofErr w:type="spellStart"/>
      <w:r w:rsidRPr="00837001">
        <w:rPr>
          <w:rFonts w:ascii="Avenir Next LT Pro" w:hAnsi="Avenir Next LT Pro"/>
          <w:sz w:val="24"/>
          <w:szCs w:val="24"/>
        </w:rPr>
        <w:t>p</w:t>
      </w:r>
      <w:r w:rsidRPr="00837001">
        <w:rPr>
          <w:rFonts w:ascii="Avenir Next LT Pro" w:hAnsi="Avenir Next LT Pro"/>
          <w:sz w:val="24"/>
          <w:szCs w:val="24"/>
          <w:vertAlign w:val="subscript"/>
        </w:rPr>
        <w:t>holm</w:t>
      </w:r>
      <w:proofErr w:type="spellEnd"/>
      <w:r w:rsidRPr="00837001">
        <w:rPr>
          <w:rFonts w:ascii="Avenir Next LT Pro" w:hAnsi="Avenir Next LT Pro"/>
          <w:sz w:val="24"/>
          <w:szCs w:val="24"/>
        </w:rPr>
        <w:t xml:space="preserve"> &lt; .001) and levers (Mean Diff. = -2.225, t = -8.933, </w:t>
      </w:r>
      <w:proofErr w:type="spellStart"/>
      <w:r w:rsidRPr="00837001">
        <w:rPr>
          <w:rFonts w:ascii="Avenir Next LT Pro" w:hAnsi="Avenir Next LT Pro"/>
          <w:sz w:val="24"/>
          <w:szCs w:val="24"/>
        </w:rPr>
        <w:t>pholm</w:t>
      </w:r>
      <w:proofErr w:type="spellEnd"/>
      <w:r w:rsidRPr="00837001">
        <w:rPr>
          <w:rFonts w:ascii="Avenir Next LT Pro" w:hAnsi="Avenir Next LT Pro"/>
          <w:sz w:val="24"/>
          <w:szCs w:val="24"/>
        </w:rPr>
        <w:t xml:space="preserve"> &lt; .001). These significant differences indicate that the participatory learning approach with a critical problem-solving component had a marked positive effect on students' performance in science process skills, particularly in more complex tasks like inclined planes and levers. These findings align with the overall hypothesis that participatory learning methods are superior to traditional lecture-based approaches in developing science process skills.</w:t>
      </w:r>
    </w:p>
    <w:p w14:paraId="4A967B5B" w14:textId="512B03C7" w:rsidR="00CD36C6" w:rsidRPr="00837001" w:rsidRDefault="00CD36C6"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 xml:space="preserve">The hypothesis tested in this research was that there are significant differences in students' science process skills between the experimental group (taught using participatory learning with a critical problem-solving approach) and the control group (taught using traditional expository methods). The results from the ANOVA and post-hoc analyses support this hypothesis, showing significant improvements in the experimental group's science process skills across all types of simple machines tested. The experimental group consistently achieved higher mean scores and demonstrated lower variability in performance, indicating not only higher overall skill levels but also more consistent application of these skills. Therefore, the hypothesis is accepted, confirming that participatory learning with a critical problem-solving approach is more effective than traditional methods in enhancing students' science process skills. </w:t>
      </w:r>
    </w:p>
    <w:p w14:paraId="7E0C60B0" w14:textId="25B9FDE3" w:rsidR="00C60D4B" w:rsidRPr="00837001" w:rsidRDefault="00C60D4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 xml:space="preserve">Participatory learning, characterized by active student engagement and collaborative problem-solving, has been shown to foster a deeper understanding of scientific concepts and processes (Guzmán &amp; Juárez, 2024). This study's findings align with existing literature that highlights the benefits of interactive learning environments. For instance, Guzmán and Juárez (2024) demonstrated that students who engage actively with learning materials through hands-on activities and group discussions exhibit better performance and higher motivation. Similarly, Gea et al. (2024) reported that using student worksheets assisted by </w:t>
      </w:r>
      <w:proofErr w:type="spellStart"/>
      <w:r w:rsidRPr="00837001">
        <w:rPr>
          <w:rFonts w:ascii="Avenir Next LT Pro" w:hAnsi="Avenir Next LT Pro"/>
          <w:sz w:val="24"/>
          <w:szCs w:val="24"/>
        </w:rPr>
        <w:t>PhET</w:t>
      </w:r>
      <w:proofErr w:type="spellEnd"/>
      <w:r w:rsidRPr="00837001">
        <w:rPr>
          <w:rFonts w:ascii="Avenir Next LT Pro" w:hAnsi="Avenir Next LT Pro"/>
          <w:sz w:val="24"/>
          <w:szCs w:val="24"/>
        </w:rPr>
        <w:t xml:space="preserve"> simulations significantly improved students' science process skills. These methods encourage students to take ownership of their learning, making the educational experience more meaningful and effective (Hadi et al., 2023</w:t>
      </w:r>
      <w:r w:rsidR="00C63F95" w:rsidRPr="00837001">
        <w:rPr>
          <w:rFonts w:ascii="Avenir Next LT Pro" w:hAnsi="Avenir Next LT Pro"/>
          <w:sz w:val="24"/>
          <w:szCs w:val="24"/>
        </w:rPr>
        <w:t>)</w:t>
      </w:r>
      <w:r w:rsidRPr="00837001">
        <w:rPr>
          <w:rFonts w:ascii="Avenir Next LT Pro" w:hAnsi="Avenir Next LT Pro"/>
          <w:sz w:val="24"/>
          <w:szCs w:val="24"/>
        </w:rPr>
        <w:t>.</w:t>
      </w:r>
    </w:p>
    <w:p w14:paraId="0CA76646" w14:textId="0677F790" w:rsidR="00C60D4B" w:rsidRPr="00837001" w:rsidRDefault="00C60D4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 xml:space="preserve">The critical problem-solving approach used in the experimental group required students to apply their theoretical knowledge to practical problems, enhancing their ability to think critically and solve complex tasks. This approach aligns with the findings of </w:t>
      </w:r>
      <w:proofErr w:type="spellStart"/>
      <w:r w:rsidRPr="00837001">
        <w:rPr>
          <w:rFonts w:ascii="Avenir Next LT Pro" w:hAnsi="Avenir Next LT Pro"/>
          <w:sz w:val="24"/>
          <w:szCs w:val="24"/>
        </w:rPr>
        <w:t>Llinás</w:t>
      </w:r>
      <w:proofErr w:type="spellEnd"/>
      <w:r w:rsidRPr="00837001">
        <w:rPr>
          <w:rFonts w:ascii="Avenir Next LT Pro" w:hAnsi="Avenir Next LT Pro"/>
          <w:sz w:val="24"/>
          <w:szCs w:val="24"/>
        </w:rPr>
        <w:t xml:space="preserve"> and Márquez (2023), who noted that students who generate their own questions and actively seek solutions show significant improvements in understanding and retention of scientific concepts (Ceylan et al., 2023). The structured yet flexible nature of problem-solving tasks helps students develop not only their cognitive skills but also their ability to collaborate and communicate effectively, as reflected in the higher scores for aspects like accuracy in reading measurements and ability to convey information in this study (</w:t>
      </w:r>
      <w:proofErr w:type="spellStart"/>
      <w:r w:rsidRPr="00837001">
        <w:rPr>
          <w:rFonts w:ascii="Avenir Next LT Pro" w:hAnsi="Avenir Next LT Pro"/>
          <w:sz w:val="24"/>
          <w:szCs w:val="24"/>
        </w:rPr>
        <w:t>Wakhata</w:t>
      </w:r>
      <w:proofErr w:type="spellEnd"/>
      <w:r w:rsidRPr="00837001">
        <w:rPr>
          <w:rFonts w:ascii="Avenir Next LT Pro" w:hAnsi="Avenir Next LT Pro"/>
          <w:sz w:val="24"/>
          <w:szCs w:val="24"/>
        </w:rPr>
        <w:t xml:space="preserve"> et al., 2023).</w:t>
      </w:r>
    </w:p>
    <w:p w14:paraId="05E32027" w14:textId="000D60E0" w:rsidR="00C60D4B" w:rsidRPr="00837001" w:rsidRDefault="00C60D4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The significant differences in performance between the experimental and control groups underscore the limitations of traditional expository teaching methods, which often rely heavily on passive learning and rote memorization. Traditional methods have been criticized for failing to engage students meaningfully and for not adequately developing higher-order thinking skills (Naz et al., 2024). This study's findings reinforce these criticisms, showing that students in the control group, who were taught using traditional methods, had lower mean scores and higher variability in performance across all assessed aspects of science process skills (Harada, 2023).</w:t>
      </w:r>
    </w:p>
    <w:p w14:paraId="5EDA11BA" w14:textId="3A9AA2D5" w:rsidR="00C60D4B" w:rsidRPr="00837001" w:rsidRDefault="00C60D4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The lower standard deviations and standard errors in the experimental group suggest that participatory learning not only improves average performance but also ensures more consistent skill development among students. This consistency is crucial in educational settings, as it indicates that the teaching method is effective for a broader range of students, regardless of their initial skill levels or learning styles. As highlighted by MacDonagh (2023), engaging students in self-assessment and participatory activities can lead to more uniform improvements in learning outcomes (Ironsi &amp; Bostanci, 2023). This study supports that finding, showing that the experimental group's participatory learning approach reduced performance variability and led to more equitable skill development.</w:t>
      </w:r>
    </w:p>
    <w:p w14:paraId="2A8CA28B" w14:textId="1B1B2FAA" w:rsidR="00C60D4B" w:rsidRPr="00837001" w:rsidRDefault="00C60D4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The positive outcomes of participatory learning with a critical problem-solving approach have significant implications for science education. Educators and policymakers should consider incorporating more interactive and student-</w:t>
      </w:r>
      <w:proofErr w:type="spellStart"/>
      <w:r w:rsidRPr="00837001">
        <w:rPr>
          <w:rFonts w:ascii="Avenir Next LT Pro" w:hAnsi="Avenir Next LT Pro"/>
          <w:sz w:val="24"/>
          <w:szCs w:val="24"/>
        </w:rPr>
        <w:t>centered</w:t>
      </w:r>
      <w:proofErr w:type="spellEnd"/>
      <w:r w:rsidRPr="00837001">
        <w:rPr>
          <w:rFonts w:ascii="Avenir Next LT Pro" w:hAnsi="Avenir Next LT Pro"/>
          <w:sz w:val="24"/>
          <w:szCs w:val="24"/>
        </w:rPr>
        <w:t xml:space="preserve"> methods into the curriculum to enhance science process skills and overall academic performance. The findings of this study suggest that such methods not only improve cognitive skills but also foster important soft skills like collaboration and communication. As Jones (2024) pointed out, transforming physics education toward justice-</w:t>
      </w:r>
      <w:proofErr w:type="spellStart"/>
      <w:r w:rsidRPr="00837001">
        <w:rPr>
          <w:rFonts w:ascii="Avenir Next LT Pro" w:hAnsi="Avenir Next LT Pro"/>
          <w:sz w:val="24"/>
          <w:szCs w:val="24"/>
        </w:rPr>
        <w:t>centered</w:t>
      </w:r>
      <w:proofErr w:type="spellEnd"/>
      <w:r w:rsidRPr="00837001">
        <w:rPr>
          <w:rFonts w:ascii="Avenir Next LT Pro" w:hAnsi="Avenir Next LT Pro"/>
          <w:sz w:val="24"/>
          <w:szCs w:val="24"/>
        </w:rPr>
        <w:t xml:space="preserve"> and participatory approaches can help bridge gaps in educational equity and access, making science more inclusive and engaging for all students (Georgakopoulos et al., 2023).</w:t>
      </w:r>
    </w:p>
    <w:p w14:paraId="0DC238DA" w14:textId="4B2EF40B" w:rsidR="00C60D4B" w:rsidRPr="00837001" w:rsidRDefault="00C60D4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While the results of this study are promising, there are challenges and limitations that should be addressed in future research. For instance, the sample size was relatively small and confined to a single geographic location, which may limit the generalizability of the findings. Future studies should involve larger, more diverse samples and explore the long-term effects of participatory learning on science process skills. Additionally, further research is needed to investigate the impact of participatory learning on other subjects and age groups to determine its broader applicability. As suggested by Fernandez</w:t>
      </w:r>
      <w:r w:rsidR="009C3278" w:rsidRPr="00837001">
        <w:rPr>
          <w:rFonts w:ascii="Avenir Next LT Pro" w:hAnsi="Avenir Next LT Pro"/>
          <w:sz w:val="24"/>
          <w:szCs w:val="24"/>
        </w:rPr>
        <w:t>-</w:t>
      </w:r>
      <w:r w:rsidRPr="00837001">
        <w:rPr>
          <w:rFonts w:ascii="Avenir Next LT Pro" w:hAnsi="Avenir Next LT Pro"/>
          <w:sz w:val="24"/>
          <w:szCs w:val="24"/>
        </w:rPr>
        <w:t>Rivas et al. (2024), incorporating new technologies and interdisciplinary approaches can further enhance the effectiveness of participatory learning methods (Cho, 2023).</w:t>
      </w:r>
    </w:p>
    <w:p w14:paraId="65B95323" w14:textId="4C3C55BB" w:rsidR="00C60D4B" w:rsidRPr="00837001" w:rsidRDefault="00C60D4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The findings of this study have broader implications for science education, particularly in the context of teaching complex topics such as simple machines. The significant improvements observed in the experimental group's performance suggest that traditional expository methods may not be sufficient to develop the necessary science process skills. Instead, interactive and student-</w:t>
      </w:r>
      <w:proofErr w:type="spellStart"/>
      <w:r w:rsidRPr="00837001">
        <w:rPr>
          <w:rFonts w:ascii="Avenir Next LT Pro" w:hAnsi="Avenir Next LT Pro"/>
          <w:sz w:val="24"/>
          <w:szCs w:val="24"/>
        </w:rPr>
        <w:t>centered</w:t>
      </w:r>
      <w:proofErr w:type="spellEnd"/>
      <w:r w:rsidRPr="00837001">
        <w:rPr>
          <w:rFonts w:ascii="Avenir Next LT Pro" w:hAnsi="Avenir Next LT Pro"/>
          <w:sz w:val="24"/>
          <w:szCs w:val="24"/>
        </w:rPr>
        <w:t xml:space="preserve"> approaches, such as participatory learning combined with critical problem-solving, provide a more effective framework for engaging students and enhancing their understanding of scientific concepts. This approach encourages active participation, hands-on experimentation, and collaborative problem-solving, which are critical for mastering complex scientific topics</w:t>
      </w:r>
      <w:r w:rsidR="003376F9" w:rsidRPr="00837001">
        <w:rPr>
          <w:rFonts w:ascii="Avenir Next LT Pro" w:hAnsi="Avenir Next LT Pro"/>
          <w:sz w:val="24"/>
          <w:szCs w:val="24"/>
        </w:rPr>
        <w:t xml:space="preserve">. </w:t>
      </w:r>
      <w:r w:rsidRPr="00837001">
        <w:rPr>
          <w:rFonts w:ascii="Avenir Next LT Pro" w:hAnsi="Avenir Next LT Pro"/>
          <w:sz w:val="24"/>
          <w:szCs w:val="24"/>
        </w:rPr>
        <w:t>Moreover, the consistent performance improvements and reduced variability in the experimental group indicate that participatory learning not only enhances overall skill levels but also ensures that all students benefit from the learning process. This finding aligns with the research of Menendez et al. (2023), who reported that strategies promoting active engagement and critical thinking lead to more uniform skill development among students (</w:t>
      </w:r>
      <w:proofErr w:type="spellStart"/>
      <w:r w:rsidRPr="00837001">
        <w:rPr>
          <w:rFonts w:ascii="Avenir Next LT Pro" w:hAnsi="Avenir Next LT Pro"/>
          <w:sz w:val="24"/>
          <w:szCs w:val="24"/>
        </w:rPr>
        <w:t>Abualrob</w:t>
      </w:r>
      <w:proofErr w:type="spellEnd"/>
      <w:r w:rsidRPr="00837001">
        <w:rPr>
          <w:rFonts w:ascii="Avenir Next LT Pro" w:hAnsi="Avenir Next LT Pro"/>
          <w:sz w:val="24"/>
          <w:szCs w:val="24"/>
        </w:rPr>
        <w:t xml:space="preserve"> et al., 2023). By providing a structured yet flexible learning environment, participatory learning helps bridge the gap between theoretical knowledge and practical application, making it a valuable approach for science education (</w:t>
      </w:r>
      <w:proofErr w:type="spellStart"/>
      <w:r w:rsidRPr="00837001">
        <w:rPr>
          <w:rFonts w:ascii="Avenir Next LT Pro" w:hAnsi="Avenir Next LT Pro"/>
          <w:sz w:val="24"/>
          <w:szCs w:val="24"/>
        </w:rPr>
        <w:t>Borodzhieva</w:t>
      </w:r>
      <w:proofErr w:type="spellEnd"/>
      <w:r w:rsidRPr="00837001">
        <w:rPr>
          <w:rFonts w:ascii="Avenir Next LT Pro" w:hAnsi="Avenir Next LT Pro"/>
          <w:sz w:val="24"/>
          <w:szCs w:val="24"/>
        </w:rPr>
        <w:t>, 2023).</w:t>
      </w:r>
    </w:p>
    <w:p w14:paraId="3E4499CD" w14:textId="6B0B9FB1" w:rsidR="00C60D4B" w:rsidRPr="00837001" w:rsidRDefault="00C60D4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Future research should explore the long-term effects of participatory learning and critical problem-solving approaches on students' science process skills. Longitudinal studies could provide insights into how these teaching methods impact students' performance over time and their preparedness for advanced scientific studies and careers in STEM fields. Additionally, research should investigate the application of these approaches in other scientific disciplines and educational contexts to determine their generalizability and effectiveness across different subject areas and student populations (Camilleri, 2023).</w:t>
      </w:r>
    </w:p>
    <w:p w14:paraId="37CC57EA" w14:textId="77777777" w:rsidR="00EE1EDA" w:rsidRPr="00837001" w:rsidRDefault="00EE1EDA" w:rsidP="00B95F43">
      <w:pPr>
        <w:spacing w:after="0" w:line="240" w:lineRule="auto"/>
        <w:jc w:val="both"/>
        <w:rPr>
          <w:rFonts w:ascii="Avenir Next LT Pro" w:hAnsi="Avenir Next LT Pro"/>
          <w:sz w:val="24"/>
          <w:szCs w:val="24"/>
        </w:rPr>
      </w:pPr>
    </w:p>
    <w:p w14:paraId="211C5D3A" w14:textId="641F2F79" w:rsidR="00C60D4B" w:rsidRPr="00837001" w:rsidRDefault="00BE7AE9" w:rsidP="00B95F43">
      <w:pPr>
        <w:spacing w:after="0" w:line="240" w:lineRule="auto"/>
        <w:jc w:val="both"/>
        <w:rPr>
          <w:rFonts w:ascii="Avenir Next LT Pro" w:hAnsi="Avenir Next LT Pro"/>
          <w:b/>
          <w:bCs/>
          <w:color w:val="0070C0"/>
          <w:sz w:val="24"/>
          <w:szCs w:val="24"/>
        </w:rPr>
      </w:pPr>
      <w:r w:rsidRPr="00837001">
        <w:rPr>
          <w:rFonts w:ascii="Avenir Next LT Pro" w:hAnsi="Avenir Next LT Pro"/>
          <w:b/>
          <w:bCs/>
          <w:color w:val="0070C0"/>
          <w:sz w:val="24"/>
          <w:szCs w:val="24"/>
        </w:rPr>
        <w:t>CONCLUSION</w:t>
      </w:r>
    </w:p>
    <w:p w14:paraId="58314FA3" w14:textId="4FF1CF96" w:rsidR="00C60D4B" w:rsidRPr="00837001" w:rsidRDefault="00C60D4B"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In conclusion, the results of this study provide strong evidence supporting the effectiveness of participatory learning combined with a critical problem-solving approach in enhancing students' science process skills in the context of simple machines. The significant improvements observed in the experimental group's performance across all types of simple machines tested, along with the acceptance of the hypothesis, underscore the value of interactive and student-</w:t>
      </w:r>
      <w:proofErr w:type="spellStart"/>
      <w:r w:rsidRPr="00837001">
        <w:rPr>
          <w:rFonts w:ascii="Avenir Next LT Pro" w:hAnsi="Avenir Next LT Pro"/>
          <w:sz w:val="24"/>
          <w:szCs w:val="24"/>
        </w:rPr>
        <w:t>centered</w:t>
      </w:r>
      <w:proofErr w:type="spellEnd"/>
      <w:r w:rsidRPr="00837001">
        <w:rPr>
          <w:rFonts w:ascii="Avenir Next LT Pro" w:hAnsi="Avenir Next LT Pro"/>
          <w:sz w:val="24"/>
          <w:szCs w:val="24"/>
        </w:rPr>
        <w:t xml:space="preserve"> teaching methods in science education. By fostering active participation, hands-on experimentation, and collaborative problem-solving, these approaches not only enhance overall skill levels but also ensure more consistent and equitable learning outcomes for all students. </w:t>
      </w:r>
    </w:p>
    <w:p w14:paraId="1AB00C51" w14:textId="77777777" w:rsidR="00BE7AE9" w:rsidRPr="00837001" w:rsidRDefault="00BE7AE9" w:rsidP="00B95F43">
      <w:pPr>
        <w:spacing w:after="0" w:line="240" w:lineRule="auto"/>
        <w:jc w:val="both"/>
        <w:rPr>
          <w:rFonts w:ascii="Avenir Next LT Pro" w:hAnsi="Avenir Next LT Pro"/>
          <w:sz w:val="24"/>
          <w:szCs w:val="24"/>
        </w:rPr>
      </w:pPr>
    </w:p>
    <w:p w14:paraId="22A87DB4" w14:textId="1E17F48F" w:rsidR="00BE7AE9" w:rsidRPr="00837001" w:rsidRDefault="00BE7AE9" w:rsidP="00B95F43">
      <w:pPr>
        <w:spacing w:after="0" w:line="240" w:lineRule="auto"/>
        <w:jc w:val="both"/>
        <w:rPr>
          <w:rFonts w:ascii="Avenir Next LT Pro" w:hAnsi="Avenir Next LT Pro"/>
          <w:b/>
          <w:bCs/>
          <w:color w:val="0070C0"/>
          <w:sz w:val="24"/>
          <w:szCs w:val="24"/>
        </w:rPr>
      </w:pPr>
      <w:r w:rsidRPr="00837001">
        <w:rPr>
          <w:rFonts w:ascii="Avenir Next LT Pro" w:hAnsi="Avenir Next LT Pro"/>
          <w:b/>
          <w:bCs/>
          <w:color w:val="0070C0"/>
          <w:sz w:val="24"/>
          <w:szCs w:val="24"/>
        </w:rPr>
        <w:t>RECOMMENDATIONS</w:t>
      </w:r>
    </w:p>
    <w:p w14:paraId="3C2B1ADF" w14:textId="77777777" w:rsidR="00BE7AE9" w:rsidRPr="00837001" w:rsidRDefault="00BE7AE9"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Based on the findings of this study, it is recommended that educators and policymakers integrate participatory learning and critical problem-solving approaches into physics curricula to enhance students' science process skills. This integration should involve the development of instructional strategies that promote active engagement, hands-on experimentation, and collaborative problem-solving activities. Training programs for teachers should be established to equip them with the necessary skills and knowledge to implement these methods effectively. Furthermore, the use of digital tools and technologies, such as virtual labs and computer-supported collaborative learning environments, should be explored to support and enhance participatory learning experiences. Schools and educational institutions should also consider creating flexible learning environments that facilitate student interaction and engagement with scientific concepts. Long-term studies should be conducted to evaluate the sustained impact of these teaching methods on student performance and their preparedness for advanced studies in physics fields. Additionally, the applicability of participatory learning and critical problem-solving approaches should be investigated across different subjects and educational contexts to ensure their broader effectiveness and scalability.</w:t>
      </w:r>
    </w:p>
    <w:p w14:paraId="5CB29E1F" w14:textId="77777777" w:rsidR="00BE7AE9" w:rsidRPr="00837001" w:rsidRDefault="00BE7AE9" w:rsidP="00B95F43">
      <w:pPr>
        <w:spacing w:after="0" w:line="240" w:lineRule="auto"/>
        <w:jc w:val="both"/>
        <w:rPr>
          <w:rFonts w:ascii="Avenir Next LT Pro" w:hAnsi="Avenir Next LT Pro"/>
          <w:sz w:val="24"/>
          <w:szCs w:val="24"/>
        </w:rPr>
      </w:pPr>
    </w:p>
    <w:p w14:paraId="4B69058B" w14:textId="3B7115C6" w:rsidR="00BE7AE9" w:rsidRPr="00837001" w:rsidRDefault="00BE7AE9" w:rsidP="00B95F43">
      <w:pPr>
        <w:spacing w:after="0" w:line="240" w:lineRule="auto"/>
        <w:jc w:val="both"/>
        <w:rPr>
          <w:rFonts w:ascii="Avenir Next LT Pro" w:hAnsi="Avenir Next LT Pro"/>
          <w:b/>
          <w:bCs/>
          <w:color w:val="0070C0"/>
          <w:sz w:val="24"/>
          <w:szCs w:val="24"/>
        </w:rPr>
      </w:pPr>
      <w:r w:rsidRPr="00837001">
        <w:rPr>
          <w:rFonts w:ascii="Avenir Next LT Pro" w:hAnsi="Avenir Next LT Pro"/>
          <w:b/>
          <w:bCs/>
          <w:color w:val="0070C0"/>
          <w:sz w:val="24"/>
          <w:szCs w:val="24"/>
        </w:rPr>
        <w:t>ACKNOWLEDGMENT</w:t>
      </w:r>
    </w:p>
    <w:p w14:paraId="07B1EFB1" w14:textId="71D3BAF1" w:rsidR="00BE7AE9" w:rsidRPr="00837001" w:rsidRDefault="00BE7AE9" w:rsidP="00B95F43">
      <w:pPr>
        <w:spacing w:after="0" w:line="240" w:lineRule="auto"/>
        <w:ind w:firstLine="567"/>
        <w:jc w:val="both"/>
        <w:rPr>
          <w:rFonts w:ascii="Avenir Next LT Pro" w:hAnsi="Avenir Next LT Pro"/>
          <w:sz w:val="24"/>
          <w:szCs w:val="24"/>
        </w:rPr>
      </w:pPr>
      <w:r w:rsidRPr="00837001">
        <w:rPr>
          <w:rFonts w:ascii="Avenir Next LT Pro" w:hAnsi="Avenir Next LT Pro"/>
          <w:sz w:val="24"/>
          <w:szCs w:val="24"/>
        </w:rPr>
        <w:t>The authors would like to express their gratitude to the school authorities in Central Lombok for granting permission to conduct this study and to the students for their participation and cooperation. Special thanks to the teachers who assisted in the implementation of the experimental sessions and the data collection process.</w:t>
      </w:r>
    </w:p>
    <w:p w14:paraId="34C0CF74" w14:textId="77777777" w:rsidR="00712474" w:rsidRPr="00837001" w:rsidRDefault="00712474" w:rsidP="00B95F43">
      <w:pPr>
        <w:spacing w:after="0" w:line="240" w:lineRule="auto"/>
        <w:jc w:val="both"/>
        <w:rPr>
          <w:rFonts w:ascii="Avenir Next LT Pro" w:hAnsi="Avenir Next LT Pro"/>
          <w:sz w:val="24"/>
          <w:szCs w:val="24"/>
        </w:rPr>
      </w:pPr>
    </w:p>
    <w:p w14:paraId="1B630A22" w14:textId="1F886D99" w:rsidR="005F2977" w:rsidRPr="00837001" w:rsidRDefault="0075144A" w:rsidP="00B95F43">
      <w:pPr>
        <w:spacing w:after="120" w:line="240" w:lineRule="auto"/>
        <w:ind w:left="567" w:hanging="567"/>
        <w:jc w:val="both"/>
        <w:rPr>
          <w:rFonts w:ascii="Avenir Next LT Pro" w:hAnsi="Avenir Next LT Pro"/>
          <w:b/>
          <w:bCs/>
          <w:color w:val="0070C0"/>
          <w:sz w:val="24"/>
          <w:szCs w:val="24"/>
        </w:rPr>
      </w:pPr>
      <w:r w:rsidRPr="00837001">
        <w:rPr>
          <w:rFonts w:ascii="Avenir Next LT Pro" w:hAnsi="Avenir Next LT Pro"/>
          <w:b/>
          <w:bCs/>
          <w:color w:val="0070C0"/>
          <w:sz w:val="24"/>
          <w:szCs w:val="24"/>
        </w:rPr>
        <w:t>REFERENCES</w:t>
      </w:r>
    </w:p>
    <w:p w14:paraId="77E2CB01" w14:textId="6ABAD065" w:rsidR="003376F9" w:rsidRPr="00837001" w:rsidRDefault="003376F9" w:rsidP="00B95F43">
      <w:pPr>
        <w:pStyle w:val="NormalWeb"/>
        <w:spacing w:before="0" w:beforeAutospacing="0" w:after="120" w:afterAutospacing="0"/>
        <w:ind w:left="567" w:hanging="567"/>
        <w:jc w:val="both"/>
        <w:rPr>
          <w:rFonts w:ascii="Avenir Next LT Pro" w:hAnsi="Avenir Next LT Pro"/>
        </w:rPr>
      </w:pPr>
      <w:proofErr w:type="spellStart"/>
      <w:r w:rsidRPr="00837001">
        <w:rPr>
          <w:rFonts w:ascii="Avenir Next LT Pro" w:hAnsi="Avenir Next LT Pro"/>
        </w:rPr>
        <w:t>Abualrob</w:t>
      </w:r>
      <w:proofErr w:type="spellEnd"/>
      <w:r w:rsidRPr="00837001">
        <w:rPr>
          <w:rFonts w:ascii="Avenir Next LT Pro" w:hAnsi="Avenir Next LT Pro"/>
        </w:rPr>
        <w:t xml:space="preserve">, M., </w:t>
      </w:r>
      <w:proofErr w:type="spellStart"/>
      <w:r w:rsidRPr="00837001">
        <w:rPr>
          <w:rFonts w:ascii="Avenir Next LT Pro" w:hAnsi="Avenir Next LT Pro"/>
        </w:rPr>
        <w:t>Ewais</w:t>
      </w:r>
      <w:proofErr w:type="spellEnd"/>
      <w:r w:rsidRPr="00837001">
        <w:rPr>
          <w:rFonts w:ascii="Avenir Next LT Pro" w:hAnsi="Avenir Next LT Pro"/>
        </w:rPr>
        <w:t xml:space="preserve">, A., Dalipi, F., &amp; Awaad, T. (2023). Utilizing augmented reality to enhance twenty-first century skills in chemistry education. </w:t>
      </w:r>
      <w:r w:rsidRPr="00837001">
        <w:rPr>
          <w:rStyle w:val="Emphasis"/>
          <w:rFonts w:ascii="Avenir Next LT Pro" w:hAnsi="Avenir Next LT Pro"/>
        </w:rPr>
        <w:t>IEEE Global Engineering Education Conference (EDUCON)</w:t>
      </w:r>
      <w:r w:rsidRPr="00837001">
        <w:rPr>
          <w:rFonts w:ascii="Avenir Next LT Pro" w:hAnsi="Avenir Next LT Pro"/>
        </w:rPr>
        <w:t xml:space="preserve">, May 2023, </w:t>
      </w:r>
      <w:hyperlink r:id="rId7" w:history="1">
        <w:r w:rsidRPr="00837001">
          <w:rPr>
            <w:rStyle w:val="Hyperlink"/>
            <w:rFonts w:ascii="Avenir Next LT Pro" w:hAnsi="Avenir Next LT Pro"/>
          </w:rPr>
          <w:t>https://doi.org/10.1109/EDUCON54358.2023.10125271</w:t>
        </w:r>
      </w:hyperlink>
      <w:r w:rsidRPr="00837001">
        <w:rPr>
          <w:rFonts w:ascii="Avenir Next LT Pro" w:hAnsi="Avenir Next LT Pro"/>
        </w:rPr>
        <w:t xml:space="preserve"> </w:t>
      </w:r>
    </w:p>
    <w:p w14:paraId="4C335BD0" w14:textId="7BF4C2D1" w:rsidR="00285E77" w:rsidRPr="00837001" w:rsidRDefault="00285E77" w:rsidP="00B95F43">
      <w:pPr>
        <w:pStyle w:val="NormalWeb"/>
        <w:spacing w:before="0" w:beforeAutospacing="0" w:after="120" w:afterAutospacing="0"/>
        <w:ind w:left="567" w:hanging="567"/>
        <w:jc w:val="both"/>
        <w:rPr>
          <w:rFonts w:ascii="Avenir Next LT Pro" w:hAnsi="Avenir Next LT Pro"/>
        </w:rPr>
      </w:pPr>
      <w:proofErr w:type="spellStart"/>
      <w:r w:rsidRPr="00837001">
        <w:rPr>
          <w:rFonts w:ascii="Avenir Next LT Pro" w:hAnsi="Avenir Next LT Pro"/>
        </w:rPr>
        <w:t>Alfianda</w:t>
      </w:r>
      <w:proofErr w:type="spellEnd"/>
      <w:r w:rsidRPr="00837001">
        <w:rPr>
          <w:rFonts w:ascii="Avenir Next LT Pro" w:hAnsi="Avenir Next LT Pro"/>
        </w:rPr>
        <w:t xml:space="preserve">, R., Sunaryo, &amp; </w:t>
      </w:r>
      <w:proofErr w:type="spellStart"/>
      <w:r w:rsidRPr="00837001">
        <w:rPr>
          <w:rFonts w:ascii="Avenir Next LT Pro" w:hAnsi="Avenir Next LT Pro"/>
        </w:rPr>
        <w:t>Rustana</w:t>
      </w:r>
      <w:proofErr w:type="spellEnd"/>
      <w:r w:rsidRPr="00837001">
        <w:rPr>
          <w:rFonts w:ascii="Avenir Next LT Pro" w:hAnsi="Avenir Next LT Pro"/>
        </w:rPr>
        <w:t xml:space="preserve">, C. E. (2023). Effect of stem approach and student level of intelligence (IQ) on high school physics learning outcomes. </w:t>
      </w:r>
      <w:r w:rsidRPr="00837001">
        <w:rPr>
          <w:rFonts w:ascii="Avenir Next LT Pro" w:hAnsi="Avenir Next LT Pro"/>
          <w:i/>
          <w:iCs/>
        </w:rPr>
        <w:t>AIP Conference Proceedings, 2510</w:t>
      </w:r>
      <w:r w:rsidRPr="00837001">
        <w:rPr>
          <w:rFonts w:ascii="Avenir Next LT Pro" w:hAnsi="Avenir Next LT Pro"/>
        </w:rPr>
        <w:t xml:space="preserve">(1), 070002. </w:t>
      </w:r>
      <w:hyperlink r:id="rId8" w:history="1">
        <w:r w:rsidRPr="00837001">
          <w:rPr>
            <w:rStyle w:val="Hyperlink"/>
            <w:rFonts w:ascii="Avenir Next LT Pro" w:hAnsi="Avenir Next LT Pro"/>
          </w:rPr>
          <w:t>https://doi.org/10.1063/5.0130255</w:t>
        </w:r>
      </w:hyperlink>
      <w:r w:rsidRPr="00837001">
        <w:rPr>
          <w:rFonts w:ascii="Avenir Next LT Pro" w:hAnsi="Avenir Next LT Pro"/>
        </w:rPr>
        <w:t xml:space="preserve"> </w:t>
      </w:r>
    </w:p>
    <w:p w14:paraId="43DF6A59" w14:textId="70EF8C12" w:rsidR="00F53243" w:rsidRPr="00837001" w:rsidRDefault="00F53243" w:rsidP="00B95F43">
      <w:pPr>
        <w:pStyle w:val="NormalWeb"/>
        <w:spacing w:before="0" w:beforeAutospacing="0" w:after="120" w:afterAutospacing="0"/>
        <w:ind w:left="567" w:hanging="567"/>
        <w:jc w:val="both"/>
        <w:rPr>
          <w:rFonts w:ascii="Avenir Next LT Pro" w:hAnsi="Avenir Next LT Pro"/>
        </w:rPr>
      </w:pPr>
      <w:proofErr w:type="spellStart"/>
      <w:r w:rsidRPr="00837001">
        <w:rPr>
          <w:rFonts w:ascii="Avenir Next LT Pro" w:hAnsi="Avenir Next LT Pro"/>
        </w:rPr>
        <w:t>Barandovski</w:t>
      </w:r>
      <w:proofErr w:type="spellEnd"/>
      <w:r w:rsidRPr="00837001">
        <w:rPr>
          <w:rFonts w:ascii="Avenir Next LT Pro" w:hAnsi="Avenir Next LT Pro"/>
        </w:rPr>
        <w:t xml:space="preserve">, L., </w:t>
      </w:r>
      <w:proofErr w:type="spellStart"/>
      <w:r w:rsidRPr="00837001">
        <w:rPr>
          <w:rFonts w:ascii="Avenir Next LT Pro" w:hAnsi="Avenir Next LT Pro"/>
        </w:rPr>
        <w:t>Zoroska</w:t>
      </w:r>
      <w:proofErr w:type="spellEnd"/>
      <w:r w:rsidRPr="00837001">
        <w:rPr>
          <w:rFonts w:ascii="Avenir Next LT Pro" w:hAnsi="Avenir Next LT Pro"/>
        </w:rPr>
        <w:t xml:space="preserve">, V., &amp; </w:t>
      </w:r>
      <w:proofErr w:type="spellStart"/>
      <w:r w:rsidRPr="00837001">
        <w:rPr>
          <w:rFonts w:ascii="Avenir Next LT Pro" w:hAnsi="Avenir Next LT Pro"/>
        </w:rPr>
        <w:t>Gacovska-Barandovska</w:t>
      </w:r>
      <w:proofErr w:type="spellEnd"/>
      <w:r w:rsidRPr="00837001">
        <w:rPr>
          <w:rFonts w:ascii="Avenir Next LT Pro" w:hAnsi="Avenir Next LT Pro"/>
        </w:rPr>
        <w:t xml:space="preserve">, A. (2023). Everlasting educational reforms on the road to quality and permanent knowledge. </w:t>
      </w:r>
      <w:r w:rsidRPr="00837001">
        <w:rPr>
          <w:rFonts w:ascii="Avenir Next LT Pro" w:hAnsi="Avenir Next LT Pro"/>
          <w:i/>
          <w:iCs/>
        </w:rPr>
        <w:t>Proceedings of Science, 427</w:t>
      </w:r>
      <w:r w:rsidRPr="00837001">
        <w:rPr>
          <w:rFonts w:ascii="Avenir Next LT Pro" w:hAnsi="Avenir Next LT Pro"/>
        </w:rPr>
        <w:t xml:space="preserve">, 244. </w:t>
      </w:r>
      <w:hyperlink r:id="rId9" w:history="1">
        <w:r w:rsidR="006660C2" w:rsidRPr="00837001">
          <w:rPr>
            <w:rStyle w:val="Hyperlink"/>
            <w:rFonts w:ascii="Avenir Next LT Pro" w:hAnsi="Avenir Next LT Pro"/>
          </w:rPr>
          <w:t>https://doi.org/10.22323/1.427.0244</w:t>
        </w:r>
      </w:hyperlink>
      <w:r w:rsidR="006660C2" w:rsidRPr="00837001">
        <w:rPr>
          <w:rFonts w:ascii="Avenir Next LT Pro" w:hAnsi="Avenir Next LT Pro"/>
        </w:rPr>
        <w:t xml:space="preserve"> </w:t>
      </w:r>
    </w:p>
    <w:p w14:paraId="76C5BFA9" w14:textId="4D39BB04" w:rsidR="001A29EE" w:rsidRPr="00837001" w:rsidRDefault="001A29EE" w:rsidP="00B95F43">
      <w:pPr>
        <w:pStyle w:val="NormalWeb"/>
        <w:spacing w:before="0" w:beforeAutospacing="0" w:after="120" w:afterAutospacing="0"/>
        <w:ind w:left="567" w:hanging="567"/>
        <w:jc w:val="both"/>
        <w:rPr>
          <w:rFonts w:ascii="Avenir Next LT Pro" w:hAnsi="Avenir Next LT Pro"/>
        </w:rPr>
      </w:pPr>
      <w:proofErr w:type="spellStart"/>
      <w:r w:rsidRPr="00837001">
        <w:rPr>
          <w:rFonts w:ascii="Avenir Next LT Pro" w:hAnsi="Avenir Next LT Pro"/>
        </w:rPr>
        <w:t>Borodzhieva</w:t>
      </w:r>
      <w:proofErr w:type="spellEnd"/>
      <w:r w:rsidRPr="00837001">
        <w:rPr>
          <w:rFonts w:ascii="Avenir Next LT Pro" w:hAnsi="Avenir Next LT Pro"/>
        </w:rPr>
        <w:t xml:space="preserve">, A. N. (2023). Software implementations of the </w:t>
      </w:r>
      <w:proofErr w:type="spellStart"/>
      <w:r w:rsidRPr="00837001">
        <w:rPr>
          <w:rFonts w:ascii="Avenir Next LT Pro" w:hAnsi="Avenir Next LT Pro"/>
        </w:rPr>
        <w:t>Trithemius</w:t>
      </w:r>
      <w:proofErr w:type="spellEnd"/>
      <w:r w:rsidRPr="00837001">
        <w:rPr>
          <w:rFonts w:ascii="Avenir Next LT Pro" w:hAnsi="Avenir Next LT Pro"/>
        </w:rPr>
        <w:t xml:space="preserve"> progressive key for English and Bulgarian texts using MATLAB. </w:t>
      </w:r>
      <w:r w:rsidRPr="00837001">
        <w:rPr>
          <w:rStyle w:val="Emphasis"/>
          <w:rFonts w:ascii="Avenir Next LT Pro" w:hAnsi="Avenir Next LT Pro"/>
        </w:rPr>
        <w:t>ACM International Conference Proceeding Series</w:t>
      </w:r>
      <w:r w:rsidRPr="00837001">
        <w:rPr>
          <w:rFonts w:ascii="Avenir Next LT Pro" w:hAnsi="Avenir Next LT Pro"/>
        </w:rPr>
        <w:t xml:space="preserve">, 85-92. </w:t>
      </w:r>
      <w:hyperlink r:id="rId10" w:history="1">
        <w:r w:rsidRPr="00837001">
          <w:rPr>
            <w:rStyle w:val="Hyperlink"/>
            <w:rFonts w:ascii="Avenir Next LT Pro" w:hAnsi="Avenir Next LT Pro"/>
          </w:rPr>
          <w:t>https://doi.org/10.1145/3606305.3606334</w:t>
        </w:r>
      </w:hyperlink>
      <w:r w:rsidRPr="00837001">
        <w:rPr>
          <w:rFonts w:ascii="Avenir Next LT Pro" w:hAnsi="Avenir Next LT Pro"/>
        </w:rPr>
        <w:t xml:space="preserve"> </w:t>
      </w:r>
    </w:p>
    <w:p w14:paraId="74ED20E5" w14:textId="2A267A42" w:rsidR="00C07AE6" w:rsidRPr="00837001" w:rsidRDefault="00C07AE6"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Camilleri, V. (2023). Designing GBL for higher education: Pitfalls &amp; recommendations. </w:t>
      </w:r>
      <w:r w:rsidRPr="00837001">
        <w:rPr>
          <w:rStyle w:val="Emphasis"/>
          <w:rFonts w:ascii="Avenir Next LT Pro" w:hAnsi="Avenir Next LT Pro"/>
        </w:rPr>
        <w:t>Proceedings of the European Conference on Games-based Learning</w:t>
      </w:r>
      <w:r w:rsidRPr="00837001">
        <w:rPr>
          <w:rFonts w:ascii="Avenir Next LT Pro" w:hAnsi="Avenir Next LT Pro"/>
        </w:rPr>
        <w:t xml:space="preserve">, October 2023, 869-875. </w:t>
      </w:r>
      <w:hyperlink r:id="rId11" w:history="1">
        <w:r w:rsidRPr="00837001">
          <w:rPr>
            <w:rStyle w:val="Hyperlink"/>
            <w:rFonts w:ascii="Avenir Next LT Pro" w:hAnsi="Avenir Next LT Pro"/>
          </w:rPr>
          <w:t>https://doi.org/10.1109/InCULT59088.2023.10482478</w:t>
        </w:r>
      </w:hyperlink>
      <w:r w:rsidRPr="00837001">
        <w:rPr>
          <w:rFonts w:ascii="Avenir Next LT Pro" w:hAnsi="Avenir Next LT Pro"/>
        </w:rPr>
        <w:t xml:space="preserve"> </w:t>
      </w:r>
    </w:p>
    <w:p w14:paraId="44F76B80" w14:textId="5BA8C728" w:rsidR="007E0BA7" w:rsidRPr="00837001" w:rsidRDefault="007E0BA7"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Ceylan, G., Anderson, I. A., &amp; Wood, W. (2023). Sharing of misinformation is habitual, not just lazy or biased. </w:t>
      </w:r>
      <w:r w:rsidRPr="00837001">
        <w:rPr>
          <w:rStyle w:val="Emphasis"/>
          <w:rFonts w:ascii="Avenir Next LT Pro" w:hAnsi="Avenir Next LT Pro"/>
        </w:rPr>
        <w:t>Proceedings of the National Academy of Sciences of the United States of America</w:t>
      </w:r>
      <w:r w:rsidRPr="00837001">
        <w:rPr>
          <w:rFonts w:ascii="Avenir Next LT Pro" w:hAnsi="Avenir Next LT Pro"/>
        </w:rPr>
        <w:t xml:space="preserve">, 120(4), e2216614120. </w:t>
      </w:r>
      <w:hyperlink r:id="rId12" w:history="1">
        <w:r w:rsidRPr="00837001">
          <w:rPr>
            <w:rStyle w:val="Hyperlink"/>
            <w:rFonts w:ascii="Avenir Next LT Pro" w:hAnsi="Avenir Next LT Pro"/>
          </w:rPr>
          <w:t>https://doi.org/10.1073/pnas.2216614120</w:t>
        </w:r>
      </w:hyperlink>
      <w:r w:rsidRPr="00837001">
        <w:rPr>
          <w:rFonts w:ascii="Avenir Next LT Pro" w:hAnsi="Avenir Next LT Pro"/>
        </w:rPr>
        <w:t xml:space="preserve"> </w:t>
      </w:r>
    </w:p>
    <w:p w14:paraId="605757DB" w14:textId="66722B63" w:rsidR="00285E77" w:rsidRPr="00837001" w:rsidRDefault="00285E77"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Chatterjee, P., &amp; Armentano, R. (2023). Healthcare through data science - A transdisciplinary perspective from Latin America. </w:t>
      </w:r>
      <w:r w:rsidRPr="00F302CB">
        <w:rPr>
          <w:rFonts w:ascii="Avenir Next LT Pro" w:hAnsi="Avenir Next LT Pro"/>
          <w:i/>
          <w:iCs/>
        </w:rPr>
        <w:t>IEEE Technology and Engineering Management Society Body of Knowledge (TEMSBOK).</w:t>
      </w:r>
      <w:r w:rsidRPr="00837001">
        <w:rPr>
          <w:rFonts w:ascii="Avenir Next LT Pro" w:hAnsi="Avenir Next LT Pro"/>
        </w:rPr>
        <w:t xml:space="preserve"> 289 - 296. </w:t>
      </w:r>
      <w:hyperlink r:id="rId13" w:history="1">
        <w:r w:rsidRPr="00837001">
          <w:rPr>
            <w:rStyle w:val="Hyperlink"/>
            <w:rFonts w:ascii="Avenir Next LT Pro" w:hAnsi="Avenir Next LT Pro"/>
          </w:rPr>
          <w:t>https://doi.org/10.1002/9781119987635.ch17</w:t>
        </w:r>
      </w:hyperlink>
      <w:r w:rsidRPr="00837001">
        <w:rPr>
          <w:rFonts w:ascii="Avenir Next LT Pro" w:hAnsi="Avenir Next LT Pro"/>
        </w:rPr>
        <w:t xml:space="preserve"> </w:t>
      </w:r>
    </w:p>
    <w:p w14:paraId="703A3A89" w14:textId="20E723B9" w:rsidR="008B756D" w:rsidRPr="00837001" w:rsidRDefault="008B756D"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Cho, S. (2023). Analysis of competencies reflection in the 2022 revised music curriculum based on OECD education 2030. </w:t>
      </w:r>
      <w:r w:rsidRPr="00837001">
        <w:rPr>
          <w:rStyle w:val="Emphasis"/>
          <w:rFonts w:ascii="Avenir Next LT Pro" w:hAnsi="Avenir Next LT Pro"/>
        </w:rPr>
        <w:t>Korean Journal of Research in Music Education</w:t>
      </w:r>
      <w:r w:rsidRPr="00837001">
        <w:rPr>
          <w:rFonts w:ascii="Avenir Next LT Pro" w:hAnsi="Avenir Next LT Pro"/>
        </w:rPr>
        <w:t xml:space="preserve">, 52(4), 155-174. </w:t>
      </w:r>
      <w:hyperlink r:id="rId14" w:history="1">
        <w:r w:rsidRPr="00837001">
          <w:rPr>
            <w:rStyle w:val="Hyperlink"/>
            <w:rFonts w:ascii="Avenir Next LT Pro" w:hAnsi="Avenir Next LT Pro"/>
          </w:rPr>
          <w:t>https://doi.org/10.30775/KMES.52.4.155</w:t>
        </w:r>
      </w:hyperlink>
      <w:r w:rsidRPr="00837001">
        <w:rPr>
          <w:rFonts w:ascii="Avenir Next LT Pro" w:hAnsi="Avenir Next LT Pro"/>
        </w:rPr>
        <w:t xml:space="preserve"> </w:t>
      </w:r>
    </w:p>
    <w:p w14:paraId="6CFFAC19" w14:textId="57AF0406" w:rsidR="00F53243" w:rsidRPr="00837001" w:rsidRDefault="00F53243"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Darman, D. R., </w:t>
      </w:r>
      <w:proofErr w:type="spellStart"/>
      <w:r w:rsidRPr="00837001">
        <w:rPr>
          <w:rFonts w:ascii="Avenir Next LT Pro" w:hAnsi="Avenir Next LT Pro"/>
        </w:rPr>
        <w:t>Suhandi</w:t>
      </w:r>
      <w:proofErr w:type="spellEnd"/>
      <w:r w:rsidRPr="00837001">
        <w:rPr>
          <w:rFonts w:ascii="Avenir Next LT Pro" w:hAnsi="Avenir Next LT Pro"/>
        </w:rPr>
        <w:t xml:space="preserve">, A., </w:t>
      </w:r>
      <w:proofErr w:type="spellStart"/>
      <w:r w:rsidRPr="00837001">
        <w:rPr>
          <w:rFonts w:ascii="Avenir Next LT Pro" w:hAnsi="Avenir Next LT Pro"/>
        </w:rPr>
        <w:t>Kaniawati</w:t>
      </w:r>
      <w:proofErr w:type="spellEnd"/>
      <w:r w:rsidRPr="00837001">
        <w:rPr>
          <w:rFonts w:ascii="Avenir Next LT Pro" w:hAnsi="Avenir Next LT Pro"/>
        </w:rPr>
        <w:t xml:space="preserve">, I., Samsudin, A., &amp; Wibowo, F. C. (2024). Virtual laboratory in physics education: A systematic review. </w:t>
      </w:r>
      <w:r w:rsidRPr="00837001">
        <w:rPr>
          <w:rFonts w:ascii="Avenir Next LT Pro" w:hAnsi="Avenir Next LT Pro"/>
          <w:i/>
          <w:iCs/>
        </w:rPr>
        <w:t>AIP Conference Proceedings, 3116</w:t>
      </w:r>
      <w:r w:rsidRPr="00837001">
        <w:rPr>
          <w:rFonts w:ascii="Avenir Next LT Pro" w:hAnsi="Avenir Next LT Pro"/>
        </w:rPr>
        <w:t xml:space="preserve">(1), 040008. </w:t>
      </w:r>
      <w:hyperlink r:id="rId15" w:history="1">
        <w:r w:rsidR="006660C2" w:rsidRPr="00837001">
          <w:rPr>
            <w:rStyle w:val="Hyperlink"/>
            <w:rFonts w:ascii="Avenir Next LT Pro" w:hAnsi="Avenir Next LT Pro"/>
          </w:rPr>
          <w:t>https://doi.org/10.1063/5.0210640</w:t>
        </w:r>
      </w:hyperlink>
      <w:r w:rsidR="006660C2" w:rsidRPr="00837001">
        <w:rPr>
          <w:rFonts w:ascii="Avenir Next LT Pro" w:hAnsi="Avenir Next LT Pro"/>
        </w:rPr>
        <w:t xml:space="preserve"> </w:t>
      </w:r>
    </w:p>
    <w:p w14:paraId="277A3E22" w14:textId="093B2E51" w:rsidR="00F53243" w:rsidRPr="00837001" w:rsidRDefault="00F53243" w:rsidP="00B95F43">
      <w:pPr>
        <w:pStyle w:val="NormalWeb"/>
        <w:spacing w:before="0" w:beforeAutospacing="0" w:after="120" w:afterAutospacing="0"/>
        <w:ind w:left="567" w:hanging="567"/>
        <w:jc w:val="both"/>
        <w:rPr>
          <w:rFonts w:ascii="Avenir Next LT Pro" w:hAnsi="Avenir Next LT Pro"/>
        </w:rPr>
      </w:pPr>
      <w:proofErr w:type="spellStart"/>
      <w:r w:rsidRPr="00837001">
        <w:rPr>
          <w:rFonts w:ascii="Avenir Next LT Pro" w:hAnsi="Avenir Next LT Pro"/>
        </w:rPr>
        <w:t>Ekawati</w:t>
      </w:r>
      <w:proofErr w:type="spellEnd"/>
      <w:r w:rsidRPr="00837001">
        <w:rPr>
          <w:rFonts w:ascii="Avenir Next LT Pro" w:hAnsi="Avenir Next LT Pro"/>
        </w:rPr>
        <w:t xml:space="preserve">, E. Y., </w:t>
      </w:r>
      <w:proofErr w:type="spellStart"/>
      <w:r w:rsidRPr="00837001">
        <w:rPr>
          <w:rFonts w:ascii="Avenir Next LT Pro" w:hAnsi="Avenir Next LT Pro"/>
        </w:rPr>
        <w:t>Istiyono</w:t>
      </w:r>
      <w:proofErr w:type="spellEnd"/>
      <w:r w:rsidRPr="00837001">
        <w:rPr>
          <w:rFonts w:ascii="Avenir Next LT Pro" w:hAnsi="Avenir Next LT Pro"/>
        </w:rPr>
        <w:t xml:space="preserve">, E., </w:t>
      </w:r>
      <w:proofErr w:type="spellStart"/>
      <w:r w:rsidRPr="00837001">
        <w:rPr>
          <w:rFonts w:ascii="Avenir Next LT Pro" w:hAnsi="Avenir Next LT Pro"/>
        </w:rPr>
        <w:t>Budiyono</w:t>
      </w:r>
      <w:proofErr w:type="spellEnd"/>
      <w:r w:rsidRPr="00837001">
        <w:rPr>
          <w:rFonts w:ascii="Avenir Next LT Pro" w:hAnsi="Avenir Next LT Pro"/>
        </w:rPr>
        <w:t xml:space="preserve">, &amp; </w:t>
      </w:r>
      <w:proofErr w:type="spellStart"/>
      <w:r w:rsidRPr="00837001">
        <w:rPr>
          <w:rFonts w:ascii="Avenir Next LT Pro" w:hAnsi="Avenir Next LT Pro"/>
        </w:rPr>
        <w:t>Adhelacahya</w:t>
      </w:r>
      <w:proofErr w:type="spellEnd"/>
      <w:r w:rsidRPr="00837001">
        <w:rPr>
          <w:rFonts w:ascii="Avenir Next LT Pro" w:hAnsi="Avenir Next LT Pro"/>
        </w:rPr>
        <w:t xml:space="preserve">, K. (2023). Optimizing the Application of LCDS and PBL Models as an Effort to Improve Scientific Attitudes Students' in Learning Physics Online Mode During the COVID-19 Pandemic. </w:t>
      </w:r>
      <w:r w:rsidRPr="00837001">
        <w:rPr>
          <w:rFonts w:ascii="Avenir Next LT Pro" w:hAnsi="Avenir Next LT Pro"/>
          <w:i/>
          <w:iCs/>
        </w:rPr>
        <w:t>AIP Conference Proceedings, 2540</w:t>
      </w:r>
      <w:r w:rsidRPr="00837001">
        <w:rPr>
          <w:rFonts w:ascii="Avenir Next LT Pro" w:hAnsi="Avenir Next LT Pro"/>
        </w:rPr>
        <w:t xml:space="preserve">, 090009. </w:t>
      </w:r>
      <w:hyperlink r:id="rId16" w:history="1">
        <w:r w:rsidR="006660C2" w:rsidRPr="00837001">
          <w:rPr>
            <w:rStyle w:val="Hyperlink"/>
            <w:rFonts w:ascii="Avenir Next LT Pro" w:hAnsi="Avenir Next LT Pro"/>
          </w:rPr>
          <w:t>https://doi.org/10.1063/5.0107206</w:t>
        </w:r>
      </w:hyperlink>
      <w:r w:rsidR="006660C2" w:rsidRPr="00837001">
        <w:rPr>
          <w:rFonts w:ascii="Avenir Next LT Pro" w:hAnsi="Avenir Next LT Pro"/>
        </w:rPr>
        <w:t xml:space="preserve"> </w:t>
      </w:r>
    </w:p>
    <w:p w14:paraId="17AE6C5B" w14:textId="082968DF" w:rsidR="00F53243" w:rsidRPr="00837001" w:rsidRDefault="00F53243"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Fernandez</w:t>
      </w:r>
      <w:r w:rsidR="009C3278" w:rsidRPr="00837001">
        <w:rPr>
          <w:rFonts w:ascii="Avenir Next LT Pro" w:hAnsi="Avenir Next LT Pro"/>
        </w:rPr>
        <w:t>-</w:t>
      </w:r>
      <w:r w:rsidRPr="00837001">
        <w:rPr>
          <w:rFonts w:ascii="Avenir Next LT Pro" w:hAnsi="Avenir Next LT Pro"/>
        </w:rPr>
        <w:t xml:space="preserve">Rivas, D., Cintas, P., Glassey, J., &amp; </w:t>
      </w:r>
      <w:proofErr w:type="spellStart"/>
      <w:r w:rsidRPr="00837001">
        <w:rPr>
          <w:rFonts w:ascii="Avenir Next LT Pro" w:hAnsi="Avenir Next LT Pro"/>
        </w:rPr>
        <w:t>Boffito</w:t>
      </w:r>
      <w:proofErr w:type="spellEnd"/>
      <w:r w:rsidRPr="00837001">
        <w:rPr>
          <w:rFonts w:ascii="Avenir Next LT Pro" w:hAnsi="Avenir Next LT Pro"/>
        </w:rPr>
        <w:t xml:space="preserve">, D. C. (2024). Ultrasound and sonochemistry enhance education outcomes: From fundamentals and applied research to entrepreneurial potential. </w:t>
      </w:r>
      <w:r w:rsidRPr="00837001">
        <w:rPr>
          <w:rFonts w:ascii="Avenir Next LT Pro" w:hAnsi="Avenir Next LT Pro"/>
          <w:i/>
          <w:iCs/>
        </w:rPr>
        <w:t>Ultrasonics Sonochemistry, 103</w:t>
      </w:r>
      <w:r w:rsidRPr="00837001">
        <w:rPr>
          <w:rFonts w:ascii="Avenir Next LT Pro" w:hAnsi="Avenir Next LT Pro"/>
        </w:rPr>
        <w:t xml:space="preserve">, 106795. </w:t>
      </w:r>
      <w:hyperlink r:id="rId17" w:history="1">
        <w:r w:rsidR="006660C2" w:rsidRPr="00837001">
          <w:rPr>
            <w:rStyle w:val="Hyperlink"/>
            <w:rFonts w:ascii="Avenir Next LT Pro" w:hAnsi="Avenir Next LT Pro"/>
          </w:rPr>
          <w:t>https://doi.org/10.1016/j.ultsonch.2024.106795</w:t>
        </w:r>
      </w:hyperlink>
      <w:r w:rsidR="006660C2" w:rsidRPr="00837001">
        <w:rPr>
          <w:rFonts w:ascii="Avenir Next LT Pro" w:hAnsi="Avenir Next LT Pro"/>
        </w:rPr>
        <w:t xml:space="preserve"> </w:t>
      </w:r>
    </w:p>
    <w:p w14:paraId="05E1B3A1" w14:textId="0CE2A7F3" w:rsidR="00285E77" w:rsidRPr="00837001" w:rsidRDefault="00285E77"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Gale-Feeny, A., Stokes, A., &amp; Chan, J. J. (2023). The Iridescent Creature: Notes for Performing a Webcam-Based Investigation. </w:t>
      </w:r>
      <w:r w:rsidRPr="00837001">
        <w:rPr>
          <w:rFonts w:ascii="Avenir Next LT Pro" w:hAnsi="Avenir Next LT Pro"/>
          <w:i/>
          <w:iCs/>
        </w:rPr>
        <w:t xml:space="preserve">Diffracting </w:t>
      </w:r>
      <w:r w:rsidR="00895ADF" w:rsidRPr="00837001">
        <w:rPr>
          <w:rFonts w:ascii="Avenir Next LT Pro" w:hAnsi="Avenir Next LT Pro"/>
          <w:i/>
          <w:iCs/>
        </w:rPr>
        <w:t xml:space="preserve">New </w:t>
      </w:r>
      <w:r w:rsidRPr="00837001">
        <w:rPr>
          <w:rFonts w:ascii="Avenir Next LT Pro" w:hAnsi="Avenir Next LT Pro"/>
          <w:i/>
          <w:iCs/>
        </w:rPr>
        <w:t>Materialisms: Emerging Methods in Artistic Research and Higher Education, 3,</w:t>
      </w:r>
      <w:r w:rsidRPr="00837001">
        <w:rPr>
          <w:rFonts w:ascii="Avenir Next LT Pro" w:hAnsi="Avenir Next LT Pro"/>
        </w:rPr>
        <w:t xml:space="preserve"> 327 - 348. </w:t>
      </w:r>
      <w:hyperlink r:id="rId18" w:history="1">
        <w:r w:rsidRPr="00837001">
          <w:rPr>
            <w:rStyle w:val="Hyperlink"/>
            <w:rFonts w:ascii="Avenir Next LT Pro" w:hAnsi="Avenir Next LT Pro"/>
          </w:rPr>
          <w:t>https://doi.org/10.1007/978-3-031-18607-3_18</w:t>
        </w:r>
      </w:hyperlink>
      <w:r w:rsidRPr="00837001">
        <w:rPr>
          <w:rFonts w:ascii="Avenir Next LT Pro" w:hAnsi="Avenir Next LT Pro"/>
        </w:rPr>
        <w:t xml:space="preserve"> </w:t>
      </w:r>
    </w:p>
    <w:p w14:paraId="197F95E9" w14:textId="25E15B4B" w:rsidR="00F53243" w:rsidRPr="00837001" w:rsidRDefault="00F53243"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Gea, F. F. H., </w:t>
      </w:r>
      <w:proofErr w:type="spellStart"/>
      <w:r w:rsidRPr="00837001">
        <w:rPr>
          <w:rFonts w:ascii="Avenir Next LT Pro" w:hAnsi="Avenir Next LT Pro"/>
        </w:rPr>
        <w:t>Ariswan</w:t>
      </w:r>
      <w:proofErr w:type="spellEnd"/>
      <w:r w:rsidRPr="00837001">
        <w:rPr>
          <w:rFonts w:ascii="Avenir Next LT Pro" w:hAnsi="Avenir Next LT Pro"/>
        </w:rPr>
        <w:t xml:space="preserve">, Jumadi, &amp; </w:t>
      </w:r>
      <w:proofErr w:type="spellStart"/>
      <w:r w:rsidRPr="00837001">
        <w:rPr>
          <w:rFonts w:ascii="Avenir Next LT Pro" w:hAnsi="Avenir Next LT Pro"/>
        </w:rPr>
        <w:t>Widyasari</w:t>
      </w:r>
      <w:proofErr w:type="spellEnd"/>
      <w:r w:rsidRPr="00837001">
        <w:rPr>
          <w:rFonts w:ascii="Avenir Next LT Pro" w:hAnsi="Avenir Next LT Pro"/>
        </w:rPr>
        <w:t xml:space="preserve">, R. R. (2024). Student worksheets assisted by </w:t>
      </w:r>
      <w:proofErr w:type="spellStart"/>
      <w:r w:rsidRPr="00837001">
        <w:rPr>
          <w:rFonts w:ascii="Avenir Next LT Pro" w:hAnsi="Avenir Next LT Pro"/>
        </w:rPr>
        <w:t>PhET</w:t>
      </w:r>
      <w:proofErr w:type="spellEnd"/>
      <w:r w:rsidRPr="00837001">
        <w:rPr>
          <w:rFonts w:ascii="Avenir Next LT Pro" w:hAnsi="Avenir Next LT Pro"/>
        </w:rPr>
        <w:t xml:space="preserve"> simulation to determine students' science process skills. </w:t>
      </w:r>
      <w:r w:rsidRPr="00837001">
        <w:rPr>
          <w:rFonts w:ascii="Avenir Next LT Pro" w:hAnsi="Avenir Next LT Pro"/>
          <w:i/>
          <w:iCs/>
        </w:rPr>
        <w:t>AIP Conference Proceedings, 2622</w:t>
      </w:r>
      <w:r w:rsidRPr="00837001">
        <w:rPr>
          <w:rFonts w:ascii="Avenir Next LT Pro" w:hAnsi="Avenir Next LT Pro"/>
        </w:rPr>
        <w:t xml:space="preserve">(1), 020022. </w:t>
      </w:r>
      <w:hyperlink r:id="rId19" w:history="1">
        <w:r w:rsidR="006660C2" w:rsidRPr="00837001">
          <w:rPr>
            <w:rStyle w:val="Hyperlink"/>
            <w:rFonts w:ascii="Avenir Next LT Pro" w:hAnsi="Avenir Next LT Pro"/>
          </w:rPr>
          <w:t>https://doi.org/10.1063/5.0133836</w:t>
        </w:r>
      </w:hyperlink>
      <w:r w:rsidR="006660C2" w:rsidRPr="00837001">
        <w:rPr>
          <w:rFonts w:ascii="Avenir Next LT Pro" w:hAnsi="Avenir Next LT Pro"/>
        </w:rPr>
        <w:t xml:space="preserve"> </w:t>
      </w:r>
    </w:p>
    <w:p w14:paraId="0D038ABC" w14:textId="017ECCB6" w:rsidR="00157234" w:rsidRPr="00837001" w:rsidRDefault="00157234"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Georgakopoulos, I., </w:t>
      </w:r>
      <w:proofErr w:type="spellStart"/>
      <w:r w:rsidRPr="00837001">
        <w:rPr>
          <w:rFonts w:ascii="Avenir Next LT Pro" w:hAnsi="Avenir Next LT Pro"/>
        </w:rPr>
        <w:t>Piromalis</w:t>
      </w:r>
      <w:proofErr w:type="spellEnd"/>
      <w:r w:rsidRPr="00837001">
        <w:rPr>
          <w:rFonts w:ascii="Avenir Next LT Pro" w:hAnsi="Avenir Next LT Pro"/>
        </w:rPr>
        <w:t xml:space="preserve">, D., </w:t>
      </w:r>
      <w:proofErr w:type="spellStart"/>
      <w:r w:rsidRPr="00837001">
        <w:rPr>
          <w:rFonts w:ascii="Avenir Next LT Pro" w:hAnsi="Avenir Next LT Pro"/>
        </w:rPr>
        <w:t>Ntanos</w:t>
      </w:r>
      <w:proofErr w:type="spellEnd"/>
      <w:r w:rsidRPr="00837001">
        <w:rPr>
          <w:rFonts w:ascii="Avenir Next LT Pro" w:hAnsi="Avenir Next LT Pro"/>
        </w:rPr>
        <w:t xml:space="preserve">, S., </w:t>
      </w:r>
      <w:proofErr w:type="spellStart"/>
      <w:r w:rsidRPr="00837001">
        <w:rPr>
          <w:rFonts w:ascii="Avenir Next LT Pro" w:hAnsi="Avenir Next LT Pro"/>
        </w:rPr>
        <w:t>Zakopoulos</w:t>
      </w:r>
      <w:proofErr w:type="spellEnd"/>
      <w:r w:rsidRPr="00837001">
        <w:rPr>
          <w:rFonts w:ascii="Avenir Next LT Pro" w:hAnsi="Avenir Next LT Pro"/>
        </w:rPr>
        <w:t xml:space="preserve">, V., &amp; Makrygiannis, P. (2023). A prediction model for remote lab courses designed upon the principles of education for sustainable development. </w:t>
      </w:r>
      <w:r w:rsidRPr="00837001">
        <w:rPr>
          <w:rStyle w:val="Emphasis"/>
          <w:rFonts w:ascii="Avenir Next LT Pro" w:hAnsi="Avenir Next LT Pro"/>
        </w:rPr>
        <w:t>Sustainability (Switzerland)</w:t>
      </w:r>
      <w:r w:rsidRPr="00837001">
        <w:rPr>
          <w:rFonts w:ascii="Avenir Next LT Pro" w:hAnsi="Avenir Next LT Pro"/>
        </w:rPr>
        <w:t xml:space="preserve">, </w:t>
      </w:r>
      <w:r w:rsidRPr="00837001">
        <w:rPr>
          <w:rFonts w:ascii="Avenir Next LT Pro" w:hAnsi="Avenir Next LT Pro"/>
          <w:i/>
          <w:iCs/>
        </w:rPr>
        <w:t>15</w:t>
      </w:r>
      <w:r w:rsidRPr="00837001">
        <w:rPr>
          <w:rFonts w:ascii="Avenir Next LT Pro" w:hAnsi="Avenir Next LT Pro"/>
        </w:rPr>
        <w:t xml:space="preserve">(6), 5473. </w:t>
      </w:r>
      <w:hyperlink r:id="rId20" w:history="1">
        <w:r w:rsidRPr="00837001">
          <w:rPr>
            <w:rStyle w:val="Hyperlink"/>
            <w:rFonts w:ascii="Avenir Next LT Pro" w:hAnsi="Avenir Next LT Pro"/>
          </w:rPr>
          <w:t>https://doi.org/10.3390/su15065473</w:t>
        </w:r>
      </w:hyperlink>
      <w:r w:rsidRPr="00837001">
        <w:rPr>
          <w:rFonts w:ascii="Avenir Next LT Pro" w:hAnsi="Avenir Next LT Pro"/>
        </w:rPr>
        <w:t xml:space="preserve"> </w:t>
      </w:r>
    </w:p>
    <w:p w14:paraId="4EA6BD9F" w14:textId="17D978FF" w:rsidR="00F53243" w:rsidRPr="00837001" w:rsidRDefault="00F53243" w:rsidP="00B95F43">
      <w:pPr>
        <w:pStyle w:val="NormalWeb"/>
        <w:spacing w:before="0" w:beforeAutospacing="0" w:after="120" w:afterAutospacing="0"/>
        <w:ind w:left="567" w:hanging="567"/>
        <w:jc w:val="both"/>
        <w:rPr>
          <w:rFonts w:ascii="Avenir Next LT Pro" w:hAnsi="Avenir Next LT Pro"/>
        </w:rPr>
      </w:pPr>
      <w:proofErr w:type="spellStart"/>
      <w:r w:rsidRPr="00837001">
        <w:rPr>
          <w:rFonts w:ascii="Avenir Next LT Pro" w:hAnsi="Avenir Next LT Pro"/>
        </w:rPr>
        <w:t>Gumisirizah</w:t>
      </w:r>
      <w:proofErr w:type="spellEnd"/>
      <w:r w:rsidRPr="00837001">
        <w:rPr>
          <w:rFonts w:ascii="Avenir Next LT Pro" w:hAnsi="Avenir Next LT Pro"/>
        </w:rPr>
        <w:t xml:space="preserve">, N., </w:t>
      </w:r>
      <w:proofErr w:type="spellStart"/>
      <w:r w:rsidRPr="00837001">
        <w:rPr>
          <w:rFonts w:ascii="Avenir Next LT Pro" w:hAnsi="Avenir Next LT Pro"/>
        </w:rPr>
        <w:t>Nzabahimana</w:t>
      </w:r>
      <w:proofErr w:type="spellEnd"/>
      <w:r w:rsidRPr="00837001">
        <w:rPr>
          <w:rFonts w:ascii="Avenir Next LT Pro" w:hAnsi="Avenir Next LT Pro"/>
        </w:rPr>
        <w:t xml:space="preserve">, J., &amp; Muwonge, C. M. (2024). Students’ performance, attitude, and classroom observation data to assess the effect of problem-based learning approach supplemented by YouTube videos in Ugandan classroom. </w:t>
      </w:r>
      <w:r w:rsidRPr="00837001">
        <w:rPr>
          <w:rFonts w:ascii="Avenir Next LT Pro" w:hAnsi="Avenir Next LT Pro"/>
          <w:i/>
          <w:iCs/>
        </w:rPr>
        <w:t>Scientific Data</w:t>
      </w:r>
      <w:r w:rsidR="002B6347" w:rsidRPr="00837001">
        <w:rPr>
          <w:rFonts w:ascii="Avenir Next LT Pro" w:hAnsi="Avenir Next LT Pro"/>
          <w:i/>
          <w:iCs/>
        </w:rPr>
        <w:t>, 11(428)</w:t>
      </w:r>
      <w:r w:rsidR="002B6347" w:rsidRPr="00837001">
        <w:rPr>
          <w:rFonts w:ascii="Avenir Next LT Pro" w:hAnsi="Avenir Next LT Pro"/>
        </w:rPr>
        <w:t>, 1-7.</w:t>
      </w:r>
      <w:r w:rsidRPr="00837001">
        <w:rPr>
          <w:rFonts w:ascii="Avenir Next LT Pro" w:hAnsi="Avenir Next LT Pro"/>
        </w:rPr>
        <w:t xml:space="preserve"> </w:t>
      </w:r>
      <w:hyperlink r:id="rId21" w:history="1">
        <w:r w:rsidR="006660C2" w:rsidRPr="00837001">
          <w:rPr>
            <w:rStyle w:val="Hyperlink"/>
            <w:rFonts w:ascii="Avenir Next LT Pro" w:hAnsi="Avenir Next LT Pro"/>
          </w:rPr>
          <w:t>https://doi.org/10.1038/s41597-024-03206-2</w:t>
        </w:r>
      </w:hyperlink>
      <w:r w:rsidR="006660C2" w:rsidRPr="00837001">
        <w:rPr>
          <w:rFonts w:ascii="Avenir Next LT Pro" w:hAnsi="Avenir Next LT Pro"/>
        </w:rPr>
        <w:t xml:space="preserve"> </w:t>
      </w:r>
    </w:p>
    <w:p w14:paraId="6DC55C85" w14:textId="72897F71" w:rsidR="00F53243" w:rsidRPr="00837001" w:rsidRDefault="00F53243"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Guzmán, D. S., &amp; Juárez, E. C. (2024). How Engineering Students Understand and Interpret Graphics Using Spreadsheets an Empirical Study in Physics Courses. </w:t>
      </w:r>
      <w:r w:rsidRPr="00837001">
        <w:rPr>
          <w:rFonts w:ascii="Avenir Next LT Pro" w:hAnsi="Avenir Next LT Pro"/>
          <w:i/>
          <w:iCs/>
        </w:rPr>
        <w:t>International Journal of Engineering Education, 40</w:t>
      </w:r>
      <w:r w:rsidRPr="00837001">
        <w:rPr>
          <w:rFonts w:ascii="Avenir Next LT Pro" w:hAnsi="Avenir Next LT Pro"/>
        </w:rPr>
        <w:t xml:space="preserve">(3), 572 - 581. </w:t>
      </w:r>
      <w:hyperlink r:id="rId22" w:history="1">
        <w:r w:rsidR="006660C2" w:rsidRPr="00837001">
          <w:rPr>
            <w:rStyle w:val="Hyperlink"/>
            <w:rFonts w:ascii="Avenir Next LT Pro" w:hAnsi="Avenir Next LT Pro"/>
          </w:rPr>
          <w:t>https://doi.org/10.1016/j.ijme.2023.100899</w:t>
        </w:r>
      </w:hyperlink>
      <w:r w:rsidR="006660C2" w:rsidRPr="00837001">
        <w:rPr>
          <w:rFonts w:ascii="Avenir Next LT Pro" w:hAnsi="Avenir Next LT Pro"/>
        </w:rPr>
        <w:t xml:space="preserve"> </w:t>
      </w:r>
    </w:p>
    <w:p w14:paraId="496CFED6" w14:textId="41DF8945" w:rsidR="006B49C4" w:rsidRPr="00837001" w:rsidRDefault="006B49C4"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Hadi, K., </w:t>
      </w:r>
      <w:proofErr w:type="spellStart"/>
      <w:r w:rsidRPr="00837001">
        <w:rPr>
          <w:rFonts w:ascii="Avenir Next LT Pro" w:hAnsi="Avenir Next LT Pro"/>
        </w:rPr>
        <w:t>Sofiyanita</w:t>
      </w:r>
      <w:proofErr w:type="spellEnd"/>
      <w:r w:rsidRPr="00837001">
        <w:rPr>
          <w:rFonts w:ascii="Avenir Next LT Pro" w:hAnsi="Avenir Next LT Pro"/>
        </w:rPr>
        <w:t xml:space="preserve">, &amp; </w:t>
      </w:r>
      <w:proofErr w:type="spellStart"/>
      <w:r w:rsidRPr="00837001">
        <w:rPr>
          <w:rFonts w:ascii="Avenir Next LT Pro" w:hAnsi="Avenir Next LT Pro"/>
        </w:rPr>
        <w:t>Ardiansyah</w:t>
      </w:r>
      <w:proofErr w:type="spellEnd"/>
      <w:r w:rsidRPr="00837001">
        <w:rPr>
          <w:rFonts w:ascii="Avenir Next LT Pro" w:hAnsi="Avenir Next LT Pro"/>
        </w:rPr>
        <w:t xml:space="preserve">. (2023). Implementation of practice-based learning model using STREAM approach in Madrasah Aliyah, </w:t>
      </w:r>
      <w:proofErr w:type="spellStart"/>
      <w:r w:rsidRPr="00837001">
        <w:rPr>
          <w:rFonts w:ascii="Avenir Next LT Pro" w:hAnsi="Avenir Next LT Pro"/>
        </w:rPr>
        <w:t>Pekanbaru</w:t>
      </w:r>
      <w:proofErr w:type="spellEnd"/>
      <w:r w:rsidRPr="00837001">
        <w:rPr>
          <w:rFonts w:ascii="Avenir Next LT Pro" w:hAnsi="Avenir Next LT Pro"/>
        </w:rPr>
        <w:t xml:space="preserve"> City, Indonesia. </w:t>
      </w:r>
      <w:r w:rsidRPr="00837001">
        <w:rPr>
          <w:rStyle w:val="Emphasis"/>
          <w:rFonts w:ascii="Avenir Next LT Pro" w:hAnsi="Avenir Next LT Pro"/>
          <w:i w:val="0"/>
          <w:iCs w:val="0"/>
        </w:rPr>
        <w:t>AIP Conference Proceedings</w:t>
      </w:r>
      <w:r w:rsidRPr="00837001">
        <w:rPr>
          <w:rFonts w:ascii="Avenir Next LT Pro" w:hAnsi="Avenir Next LT Pro"/>
          <w:i/>
          <w:iCs/>
        </w:rPr>
        <w:t>, 2619</w:t>
      </w:r>
      <w:r w:rsidRPr="00837001">
        <w:rPr>
          <w:rFonts w:ascii="Avenir Next LT Pro" w:hAnsi="Avenir Next LT Pro"/>
        </w:rPr>
        <w:t xml:space="preserve">, 080006. </w:t>
      </w:r>
      <w:hyperlink r:id="rId23" w:history="1">
        <w:r w:rsidRPr="00837001">
          <w:rPr>
            <w:rStyle w:val="Hyperlink"/>
            <w:rFonts w:ascii="Avenir Next LT Pro" w:hAnsi="Avenir Next LT Pro"/>
          </w:rPr>
          <w:t>https://doi.org/10.1063/5.0122805</w:t>
        </w:r>
      </w:hyperlink>
      <w:r w:rsidRPr="00837001">
        <w:rPr>
          <w:rFonts w:ascii="Avenir Next LT Pro" w:hAnsi="Avenir Next LT Pro"/>
        </w:rPr>
        <w:t xml:space="preserve"> </w:t>
      </w:r>
    </w:p>
    <w:p w14:paraId="2E7187B1" w14:textId="2F1D9709" w:rsidR="00C67FD3" w:rsidRPr="00837001" w:rsidRDefault="00C67FD3"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Harada, T. (2023). Exploring the effects of risk-taking, exploitation, and exploration on divergent thinking under group dynamics. </w:t>
      </w:r>
      <w:r w:rsidRPr="00837001">
        <w:rPr>
          <w:rStyle w:val="Emphasis"/>
          <w:rFonts w:ascii="Avenir Next LT Pro" w:hAnsi="Avenir Next LT Pro"/>
        </w:rPr>
        <w:t>Frontiers in Psychology</w:t>
      </w:r>
      <w:r w:rsidRPr="00837001">
        <w:rPr>
          <w:rFonts w:ascii="Avenir Next LT Pro" w:hAnsi="Avenir Next LT Pro"/>
        </w:rPr>
        <w:t xml:space="preserve">, 13, 1063525. </w:t>
      </w:r>
      <w:hyperlink r:id="rId24" w:history="1">
        <w:r w:rsidRPr="00837001">
          <w:rPr>
            <w:rStyle w:val="Hyperlink"/>
            <w:rFonts w:ascii="Avenir Next LT Pro" w:hAnsi="Avenir Next LT Pro"/>
          </w:rPr>
          <w:t>https://doi.org/10.3389/fpsyg.2022.1063525</w:t>
        </w:r>
      </w:hyperlink>
      <w:r w:rsidRPr="00837001">
        <w:rPr>
          <w:rFonts w:ascii="Avenir Next LT Pro" w:hAnsi="Avenir Next LT Pro"/>
        </w:rPr>
        <w:t xml:space="preserve"> </w:t>
      </w:r>
    </w:p>
    <w:p w14:paraId="2C156301" w14:textId="2042B489" w:rsidR="00CF0B0A" w:rsidRPr="00837001" w:rsidRDefault="00CF0B0A"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Ironsi, C. S., &amp; Bostanci, H. B. (2023). Applying modified TATE framework in equipping learners with action competence on future skills: Towards learners’ future-readiness. </w:t>
      </w:r>
      <w:r w:rsidRPr="00837001">
        <w:rPr>
          <w:rStyle w:val="Emphasis"/>
          <w:rFonts w:ascii="Avenir Next LT Pro" w:hAnsi="Avenir Next LT Pro"/>
        </w:rPr>
        <w:t>Asia Pacific Journal of Education</w:t>
      </w:r>
      <w:r w:rsidRPr="00837001">
        <w:rPr>
          <w:rFonts w:ascii="Avenir Next LT Pro" w:hAnsi="Avenir Next LT Pro"/>
        </w:rPr>
        <w:t xml:space="preserve">, </w:t>
      </w:r>
      <w:r w:rsidRPr="00837001">
        <w:rPr>
          <w:rFonts w:ascii="Avenir Next LT Pro" w:hAnsi="Avenir Next LT Pro"/>
          <w:i/>
          <w:iCs/>
        </w:rPr>
        <w:t>43</w:t>
      </w:r>
      <w:r w:rsidRPr="00837001">
        <w:rPr>
          <w:rFonts w:ascii="Avenir Next LT Pro" w:hAnsi="Avenir Next LT Pro"/>
        </w:rPr>
        <w:t xml:space="preserve">(3), 775-789. </w:t>
      </w:r>
      <w:hyperlink r:id="rId25" w:history="1">
        <w:r w:rsidRPr="00837001">
          <w:rPr>
            <w:rStyle w:val="Hyperlink"/>
            <w:rFonts w:ascii="Avenir Next LT Pro" w:hAnsi="Avenir Next LT Pro"/>
          </w:rPr>
          <w:t>https://doi.org/10.1080/02188791.2023.2231650</w:t>
        </w:r>
      </w:hyperlink>
      <w:r w:rsidRPr="00837001">
        <w:rPr>
          <w:rFonts w:ascii="Avenir Next LT Pro" w:hAnsi="Avenir Next LT Pro"/>
        </w:rPr>
        <w:t xml:space="preserve"> </w:t>
      </w:r>
    </w:p>
    <w:p w14:paraId="477B3966" w14:textId="077DE470" w:rsidR="00F53243" w:rsidRPr="00837001" w:rsidRDefault="00F53243"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Jones, J. (2024). Contesting the boundaries of physics teaching: What it takes to transform physics education toward justice-</w:t>
      </w:r>
      <w:proofErr w:type="spellStart"/>
      <w:r w:rsidRPr="00837001">
        <w:rPr>
          <w:rFonts w:ascii="Avenir Next LT Pro" w:hAnsi="Avenir Next LT Pro"/>
        </w:rPr>
        <w:t>centered</w:t>
      </w:r>
      <w:proofErr w:type="spellEnd"/>
      <w:r w:rsidRPr="00837001">
        <w:rPr>
          <w:rFonts w:ascii="Avenir Next LT Pro" w:hAnsi="Avenir Next LT Pro"/>
        </w:rPr>
        <w:t xml:space="preserve"> ends.</w:t>
      </w:r>
      <w:r w:rsidRPr="00837001">
        <w:rPr>
          <w:rFonts w:ascii="Avenir Next LT Pro" w:hAnsi="Avenir Next LT Pro"/>
          <w:i/>
          <w:iCs/>
        </w:rPr>
        <w:t xml:space="preserve"> Science Education, 108</w:t>
      </w:r>
      <w:r w:rsidRPr="00837001">
        <w:rPr>
          <w:rFonts w:ascii="Avenir Next LT Pro" w:hAnsi="Avenir Next LT Pro"/>
        </w:rPr>
        <w:t xml:space="preserve">(4), 1015 - 1033. </w:t>
      </w:r>
      <w:hyperlink r:id="rId26" w:history="1">
        <w:r w:rsidR="008344A8" w:rsidRPr="00837001">
          <w:rPr>
            <w:rStyle w:val="Hyperlink"/>
            <w:rFonts w:ascii="Avenir Next LT Pro" w:hAnsi="Avenir Next LT Pro"/>
          </w:rPr>
          <w:t>https://doi.org/10.1002/sce.21862</w:t>
        </w:r>
      </w:hyperlink>
      <w:r w:rsidR="008344A8" w:rsidRPr="00837001">
        <w:rPr>
          <w:rFonts w:ascii="Avenir Next LT Pro" w:hAnsi="Avenir Next LT Pro"/>
        </w:rPr>
        <w:t xml:space="preserve"> </w:t>
      </w:r>
    </w:p>
    <w:p w14:paraId="1B149D49" w14:textId="3E1407CB" w:rsidR="00285E77" w:rsidRPr="00837001" w:rsidRDefault="00285E77" w:rsidP="00B95F43">
      <w:pPr>
        <w:pStyle w:val="NormalWeb"/>
        <w:spacing w:before="0" w:beforeAutospacing="0" w:after="120" w:afterAutospacing="0"/>
        <w:ind w:left="567" w:hanging="567"/>
        <w:jc w:val="both"/>
        <w:rPr>
          <w:rFonts w:ascii="Avenir Next LT Pro" w:hAnsi="Avenir Next LT Pro"/>
        </w:rPr>
      </w:pPr>
      <w:proofErr w:type="spellStart"/>
      <w:r w:rsidRPr="00837001">
        <w:rPr>
          <w:rFonts w:ascii="Avenir Next LT Pro" w:hAnsi="Avenir Next LT Pro"/>
        </w:rPr>
        <w:t>Llinás</w:t>
      </w:r>
      <w:proofErr w:type="spellEnd"/>
      <w:r w:rsidRPr="00837001">
        <w:rPr>
          <w:rFonts w:ascii="Avenir Next LT Pro" w:hAnsi="Avenir Next LT Pro"/>
        </w:rPr>
        <w:t xml:space="preserve">, J. G., &amp; Márquez, L. M. T. (2023). An Educational Method Based on Student-Generated Questions. </w:t>
      </w:r>
      <w:r w:rsidRPr="00837001">
        <w:rPr>
          <w:rFonts w:ascii="Avenir Next LT Pro" w:hAnsi="Avenir Next LT Pro"/>
          <w:i/>
          <w:iCs/>
        </w:rPr>
        <w:t>International Journal of Educational Methodology, 9</w:t>
      </w:r>
      <w:r w:rsidRPr="00837001">
        <w:rPr>
          <w:rFonts w:ascii="Avenir Next LT Pro" w:hAnsi="Avenir Next LT Pro"/>
        </w:rPr>
        <w:t xml:space="preserve">(2), 333 - 343. </w:t>
      </w:r>
      <w:hyperlink r:id="rId27" w:history="1">
        <w:r w:rsidRPr="00837001">
          <w:rPr>
            <w:rStyle w:val="Hyperlink"/>
            <w:rFonts w:ascii="Avenir Next LT Pro" w:hAnsi="Avenir Next LT Pro"/>
          </w:rPr>
          <w:t>https://doi.org/10.12973/ijem.9.2.333</w:t>
        </w:r>
      </w:hyperlink>
      <w:r w:rsidRPr="00837001">
        <w:rPr>
          <w:rFonts w:ascii="Avenir Next LT Pro" w:hAnsi="Avenir Next LT Pro"/>
        </w:rPr>
        <w:t xml:space="preserve"> </w:t>
      </w:r>
    </w:p>
    <w:p w14:paraId="5D55EB39" w14:textId="3C4C5B60" w:rsidR="00F53243" w:rsidRPr="00837001" w:rsidRDefault="00F53243"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MacDonagh, A. (2023). Student Engagement in Optional Self-Assessment in a Blended Introductory Physics Course. </w:t>
      </w:r>
      <w:r w:rsidRPr="00837001">
        <w:rPr>
          <w:rFonts w:ascii="Avenir Next LT Pro" w:hAnsi="Avenir Next LT Pro"/>
          <w:i/>
          <w:iCs/>
        </w:rPr>
        <w:t>2023 IEEE Learning with MOOCS, LWMOOCS 2023 - Conference Proceedings</w:t>
      </w:r>
      <w:r w:rsidRPr="00837001">
        <w:rPr>
          <w:rFonts w:ascii="Avenir Next LT Pro" w:hAnsi="Avenir Next LT Pro"/>
        </w:rPr>
        <w:t xml:space="preserve">. </w:t>
      </w:r>
      <w:hyperlink r:id="rId28" w:history="1">
        <w:r w:rsidR="006660C2" w:rsidRPr="00837001">
          <w:rPr>
            <w:rStyle w:val="Hyperlink"/>
            <w:rFonts w:ascii="Avenir Next LT Pro" w:hAnsi="Avenir Next LT Pro"/>
          </w:rPr>
          <w:t>https://doi.org/10.1109/LWMOOCS58322.2023.10305720</w:t>
        </w:r>
      </w:hyperlink>
      <w:r w:rsidR="006660C2" w:rsidRPr="00837001">
        <w:rPr>
          <w:rFonts w:ascii="Avenir Next LT Pro" w:hAnsi="Avenir Next LT Pro"/>
        </w:rPr>
        <w:t xml:space="preserve"> </w:t>
      </w:r>
    </w:p>
    <w:p w14:paraId="442DDC7F" w14:textId="09A1AA5F" w:rsidR="00F53243" w:rsidRPr="00837001" w:rsidRDefault="00F53243"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Naz, Z., Azam, A., Khan, M. U. G., Saba, T., Al-Otaibi, S., &amp; Rehman, A. (2024). Development and evaluation of immersive VR laboratories of organic chemistry and physics for students education. </w:t>
      </w:r>
      <w:proofErr w:type="spellStart"/>
      <w:r w:rsidRPr="00837001">
        <w:rPr>
          <w:rFonts w:ascii="Avenir Next LT Pro" w:hAnsi="Avenir Next LT Pro"/>
          <w:i/>
          <w:iCs/>
        </w:rPr>
        <w:t>Physica</w:t>
      </w:r>
      <w:proofErr w:type="spellEnd"/>
      <w:r w:rsidRPr="00837001">
        <w:rPr>
          <w:rFonts w:ascii="Avenir Next LT Pro" w:hAnsi="Avenir Next LT Pro"/>
          <w:i/>
          <w:iCs/>
        </w:rPr>
        <w:t xml:space="preserve"> Scripta, 99</w:t>
      </w:r>
      <w:r w:rsidRPr="00837001">
        <w:rPr>
          <w:rFonts w:ascii="Avenir Next LT Pro" w:hAnsi="Avenir Next LT Pro"/>
        </w:rPr>
        <w:t xml:space="preserve">(5). </w:t>
      </w:r>
      <w:hyperlink r:id="rId29" w:history="1">
        <w:r w:rsidR="006660C2" w:rsidRPr="00837001">
          <w:rPr>
            <w:rStyle w:val="Hyperlink"/>
            <w:rFonts w:ascii="Avenir Next LT Pro" w:hAnsi="Avenir Next LT Pro"/>
          </w:rPr>
          <w:t>https://doi.org/10.1088/1402-4896/ad3024</w:t>
        </w:r>
      </w:hyperlink>
      <w:r w:rsidR="006660C2" w:rsidRPr="00837001">
        <w:rPr>
          <w:rFonts w:ascii="Avenir Next LT Pro" w:hAnsi="Avenir Next LT Pro"/>
        </w:rPr>
        <w:t xml:space="preserve"> </w:t>
      </w:r>
    </w:p>
    <w:p w14:paraId="2E70D878" w14:textId="02F95ECB" w:rsidR="00F53243" w:rsidRPr="00837001" w:rsidRDefault="00F53243"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Puspa, D. R. W., Sunaryo, Wibowo, F. C., &amp; Sanjaya, L. A. (2024). Instrument of science processing skills and critical thinking skills in physics learning renewable energy chapter. </w:t>
      </w:r>
      <w:r w:rsidRPr="00837001">
        <w:rPr>
          <w:rFonts w:ascii="Avenir Next LT Pro" w:hAnsi="Avenir Next LT Pro"/>
          <w:i/>
          <w:iCs/>
        </w:rPr>
        <w:t>AIP Conference Proceedings, 3116</w:t>
      </w:r>
      <w:r w:rsidRPr="00837001">
        <w:rPr>
          <w:rFonts w:ascii="Avenir Next LT Pro" w:hAnsi="Avenir Next LT Pro"/>
        </w:rPr>
        <w:t xml:space="preserve">(1), 070013. </w:t>
      </w:r>
      <w:hyperlink r:id="rId30" w:history="1">
        <w:r w:rsidR="006660C2" w:rsidRPr="00837001">
          <w:rPr>
            <w:rStyle w:val="Hyperlink"/>
            <w:rFonts w:ascii="Avenir Next LT Pro" w:hAnsi="Avenir Next LT Pro"/>
          </w:rPr>
          <w:t>https://doi.org/10.1063/5.0210424</w:t>
        </w:r>
      </w:hyperlink>
      <w:r w:rsidR="006660C2" w:rsidRPr="00837001">
        <w:rPr>
          <w:rFonts w:ascii="Avenir Next LT Pro" w:hAnsi="Avenir Next LT Pro"/>
        </w:rPr>
        <w:t xml:space="preserve"> </w:t>
      </w:r>
    </w:p>
    <w:p w14:paraId="7F2CEA65" w14:textId="7A879BEA" w:rsidR="00285E77" w:rsidRPr="00837001" w:rsidRDefault="00285E77"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Siano, A., Bertolini, A., Conte, F., &amp; Vollero, A. (2024). Teaching loss of brand control to engineering entrepreneurship students through analogical mapping. </w:t>
      </w:r>
      <w:r w:rsidRPr="00837001">
        <w:rPr>
          <w:rFonts w:ascii="Avenir Next LT Pro" w:hAnsi="Avenir Next LT Pro"/>
          <w:i/>
          <w:iCs/>
        </w:rPr>
        <w:t>International Journal of Management Education, 22</w:t>
      </w:r>
      <w:r w:rsidRPr="00837001">
        <w:rPr>
          <w:rFonts w:ascii="Avenir Next LT Pro" w:hAnsi="Avenir Next LT Pro"/>
        </w:rPr>
        <w:t xml:space="preserve">(1), 100899. </w:t>
      </w:r>
      <w:hyperlink r:id="rId31" w:history="1">
        <w:r w:rsidRPr="00837001">
          <w:rPr>
            <w:rStyle w:val="Hyperlink"/>
            <w:rFonts w:ascii="Avenir Next LT Pro" w:hAnsi="Avenir Next LT Pro"/>
          </w:rPr>
          <w:t>https://doi.org/10.1016/j.ijme.2023.100899</w:t>
        </w:r>
      </w:hyperlink>
      <w:r w:rsidRPr="00837001">
        <w:rPr>
          <w:rFonts w:ascii="Avenir Next LT Pro" w:hAnsi="Avenir Next LT Pro"/>
        </w:rPr>
        <w:t xml:space="preserve"> </w:t>
      </w:r>
    </w:p>
    <w:p w14:paraId="79292A83" w14:textId="25E76582" w:rsidR="00285E77" w:rsidRPr="00837001" w:rsidRDefault="00285E77"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Souza, L. W. G., Perini, A. P., &amp; Neves, L. P. (2024). A thermoelectric cloud chamber: II. Contributions to medical physics education. </w:t>
      </w:r>
      <w:r w:rsidRPr="00837001">
        <w:rPr>
          <w:rFonts w:ascii="Avenir Next LT Pro" w:hAnsi="Avenir Next LT Pro"/>
          <w:i/>
          <w:iCs/>
        </w:rPr>
        <w:t>European Journal of Physics, 45</w:t>
      </w:r>
      <w:r w:rsidRPr="00837001">
        <w:rPr>
          <w:rFonts w:ascii="Avenir Next LT Pro" w:hAnsi="Avenir Next LT Pro"/>
        </w:rPr>
        <w:t xml:space="preserve">(2), 025702. </w:t>
      </w:r>
      <w:hyperlink r:id="rId32" w:history="1">
        <w:r w:rsidRPr="00837001">
          <w:rPr>
            <w:rStyle w:val="Hyperlink"/>
            <w:rFonts w:ascii="Avenir Next LT Pro" w:hAnsi="Avenir Next LT Pro"/>
          </w:rPr>
          <w:t>https://doi.org/10.1088/1361-6404/ad230f</w:t>
        </w:r>
      </w:hyperlink>
      <w:r w:rsidRPr="00837001">
        <w:rPr>
          <w:rFonts w:ascii="Avenir Next LT Pro" w:hAnsi="Avenir Next LT Pro"/>
        </w:rPr>
        <w:t xml:space="preserve"> </w:t>
      </w:r>
    </w:p>
    <w:p w14:paraId="3A2D2F63" w14:textId="3AC52A0F" w:rsidR="00F53243" w:rsidRPr="00837001" w:rsidRDefault="00F53243" w:rsidP="00B95F43">
      <w:pPr>
        <w:pStyle w:val="NormalWeb"/>
        <w:spacing w:before="0" w:beforeAutospacing="0" w:after="120" w:afterAutospacing="0"/>
        <w:ind w:left="567" w:hanging="567"/>
        <w:jc w:val="both"/>
        <w:rPr>
          <w:rFonts w:ascii="Avenir Next LT Pro" w:hAnsi="Avenir Next LT Pro"/>
        </w:rPr>
      </w:pPr>
      <w:r w:rsidRPr="00837001">
        <w:rPr>
          <w:rFonts w:ascii="Avenir Next LT Pro" w:hAnsi="Avenir Next LT Pro"/>
        </w:rPr>
        <w:t xml:space="preserve">Teichmann, E., Lewandowski, H. J., &amp; </w:t>
      </w:r>
      <w:proofErr w:type="spellStart"/>
      <w:r w:rsidRPr="00837001">
        <w:rPr>
          <w:rFonts w:ascii="Avenir Next LT Pro" w:hAnsi="Avenir Next LT Pro"/>
        </w:rPr>
        <w:t>Alemani</w:t>
      </w:r>
      <w:proofErr w:type="spellEnd"/>
      <w:r w:rsidRPr="00837001">
        <w:rPr>
          <w:rFonts w:ascii="Avenir Next LT Pro" w:hAnsi="Avenir Next LT Pro"/>
        </w:rPr>
        <w:t xml:space="preserve">, M. (2024). Assessing students' views about experimental physics in a German laboratory course. </w:t>
      </w:r>
      <w:r w:rsidRPr="00837001">
        <w:rPr>
          <w:rFonts w:ascii="Avenir Next LT Pro" w:hAnsi="Avenir Next LT Pro"/>
          <w:i/>
          <w:iCs/>
        </w:rPr>
        <w:t>Journal of Physics: Conference Series, 2750</w:t>
      </w:r>
      <w:r w:rsidRPr="00837001">
        <w:rPr>
          <w:rFonts w:ascii="Avenir Next LT Pro" w:hAnsi="Avenir Next LT Pro"/>
        </w:rPr>
        <w:t xml:space="preserve">(1), 012013. </w:t>
      </w:r>
      <w:hyperlink r:id="rId33" w:history="1">
        <w:r w:rsidR="006660C2" w:rsidRPr="00837001">
          <w:rPr>
            <w:rStyle w:val="Hyperlink"/>
            <w:rFonts w:ascii="Avenir Next LT Pro" w:hAnsi="Avenir Next LT Pro"/>
          </w:rPr>
          <w:t>https://doi.org/10.1088/1742-6596/2750/1/012013</w:t>
        </w:r>
      </w:hyperlink>
      <w:r w:rsidR="006660C2" w:rsidRPr="00837001">
        <w:rPr>
          <w:rFonts w:ascii="Avenir Next LT Pro" w:hAnsi="Avenir Next LT Pro"/>
        </w:rPr>
        <w:t xml:space="preserve"> </w:t>
      </w:r>
    </w:p>
    <w:p w14:paraId="727FC0DA" w14:textId="7C75CF26" w:rsidR="00F53243" w:rsidRPr="00837001" w:rsidRDefault="00F53243" w:rsidP="00B95F43">
      <w:pPr>
        <w:pStyle w:val="NormalWeb"/>
        <w:spacing w:before="0" w:beforeAutospacing="0" w:after="120" w:afterAutospacing="0"/>
        <w:ind w:left="567" w:hanging="567"/>
        <w:jc w:val="both"/>
        <w:rPr>
          <w:rFonts w:ascii="Avenir Next LT Pro" w:hAnsi="Avenir Next LT Pro"/>
        </w:rPr>
      </w:pPr>
      <w:proofErr w:type="spellStart"/>
      <w:r w:rsidRPr="00837001">
        <w:rPr>
          <w:rFonts w:ascii="Avenir Next LT Pro" w:hAnsi="Avenir Next LT Pro"/>
        </w:rPr>
        <w:t>Tsihouridis</w:t>
      </w:r>
      <w:proofErr w:type="spellEnd"/>
      <w:r w:rsidRPr="00837001">
        <w:rPr>
          <w:rFonts w:ascii="Avenir Next LT Pro" w:hAnsi="Avenir Next LT Pro"/>
        </w:rPr>
        <w:t xml:space="preserve">, C., Karavasilis, A., </w:t>
      </w:r>
      <w:proofErr w:type="spellStart"/>
      <w:r w:rsidRPr="00837001">
        <w:rPr>
          <w:rFonts w:ascii="Avenir Next LT Pro" w:hAnsi="Avenir Next LT Pro"/>
        </w:rPr>
        <w:t>Batsila</w:t>
      </w:r>
      <w:proofErr w:type="spellEnd"/>
      <w:r w:rsidRPr="00837001">
        <w:rPr>
          <w:rFonts w:ascii="Avenir Next LT Pro" w:hAnsi="Avenir Next LT Pro"/>
        </w:rPr>
        <w:t xml:space="preserve">, M., &amp; </w:t>
      </w:r>
      <w:proofErr w:type="spellStart"/>
      <w:r w:rsidRPr="00837001">
        <w:rPr>
          <w:rFonts w:ascii="Avenir Next LT Pro" w:hAnsi="Avenir Next LT Pro"/>
        </w:rPr>
        <w:t>Vavougios</w:t>
      </w:r>
      <w:proofErr w:type="spellEnd"/>
      <w:r w:rsidRPr="00837001">
        <w:rPr>
          <w:rFonts w:ascii="Avenir Next LT Pro" w:hAnsi="Avenir Next LT Pro"/>
        </w:rPr>
        <w:t xml:space="preserve">, D. (2024). “Little Professors’” Cognitive Transformation Through Activity Triangles on Mechanics. </w:t>
      </w:r>
      <w:r w:rsidRPr="00837001">
        <w:rPr>
          <w:rFonts w:ascii="Avenir Next LT Pro" w:hAnsi="Avenir Next LT Pro"/>
          <w:i/>
          <w:iCs/>
        </w:rPr>
        <w:t>Lecture Notes in Networks and Systems, 911</w:t>
      </w:r>
      <w:r w:rsidRPr="00837001">
        <w:rPr>
          <w:rFonts w:ascii="Avenir Next LT Pro" w:hAnsi="Avenir Next LT Pro"/>
        </w:rPr>
        <w:t xml:space="preserve">, 47 - 56. </w:t>
      </w:r>
      <w:hyperlink r:id="rId34" w:history="1">
        <w:r w:rsidR="006660C2" w:rsidRPr="00837001">
          <w:rPr>
            <w:rStyle w:val="Hyperlink"/>
            <w:rFonts w:ascii="Avenir Next LT Pro" w:hAnsi="Avenir Next LT Pro"/>
          </w:rPr>
          <w:t>https://doi.org/10.1007/978-3-031-53382-2_5</w:t>
        </w:r>
      </w:hyperlink>
      <w:r w:rsidR="006660C2" w:rsidRPr="00837001">
        <w:rPr>
          <w:rFonts w:ascii="Avenir Next LT Pro" w:hAnsi="Avenir Next LT Pro"/>
        </w:rPr>
        <w:t xml:space="preserve"> </w:t>
      </w:r>
    </w:p>
    <w:p w14:paraId="6BDD4A07" w14:textId="010B6D63" w:rsidR="00D9475F" w:rsidRPr="00837001" w:rsidRDefault="00D9475F" w:rsidP="00B95F43">
      <w:pPr>
        <w:pStyle w:val="NormalWeb"/>
        <w:spacing w:before="0" w:beforeAutospacing="0" w:after="120" w:afterAutospacing="0"/>
        <w:ind w:left="567" w:hanging="567"/>
        <w:jc w:val="both"/>
        <w:rPr>
          <w:rFonts w:ascii="Avenir Next LT Pro" w:hAnsi="Avenir Next LT Pro"/>
        </w:rPr>
      </w:pPr>
      <w:proofErr w:type="spellStart"/>
      <w:r w:rsidRPr="00837001">
        <w:rPr>
          <w:rFonts w:ascii="Avenir Next LT Pro" w:hAnsi="Avenir Next LT Pro"/>
        </w:rPr>
        <w:t>Wakhata</w:t>
      </w:r>
      <w:proofErr w:type="spellEnd"/>
      <w:r w:rsidRPr="00837001">
        <w:rPr>
          <w:rFonts w:ascii="Avenir Next LT Pro" w:hAnsi="Avenir Next LT Pro"/>
        </w:rPr>
        <w:t xml:space="preserve">, R., </w:t>
      </w:r>
      <w:proofErr w:type="spellStart"/>
      <w:r w:rsidRPr="00837001">
        <w:rPr>
          <w:rFonts w:ascii="Avenir Next LT Pro" w:hAnsi="Avenir Next LT Pro"/>
        </w:rPr>
        <w:t>Mutarutinya</w:t>
      </w:r>
      <w:proofErr w:type="spellEnd"/>
      <w:r w:rsidRPr="00837001">
        <w:rPr>
          <w:rFonts w:ascii="Avenir Next LT Pro" w:hAnsi="Avenir Next LT Pro"/>
        </w:rPr>
        <w:t xml:space="preserve">, V., &amp; </w:t>
      </w:r>
      <w:proofErr w:type="spellStart"/>
      <w:r w:rsidRPr="00837001">
        <w:rPr>
          <w:rFonts w:ascii="Avenir Next LT Pro" w:hAnsi="Avenir Next LT Pro"/>
        </w:rPr>
        <w:t>Balimuttajjo</w:t>
      </w:r>
      <w:proofErr w:type="spellEnd"/>
      <w:r w:rsidRPr="00837001">
        <w:rPr>
          <w:rFonts w:ascii="Avenir Next LT Pro" w:hAnsi="Avenir Next LT Pro"/>
        </w:rPr>
        <w:t xml:space="preserve">, S. (2023). Exploring the impact of Stein et al.’s levels of cognitive demand in supporting students’ mathematics heuristic problem-solving abilities. </w:t>
      </w:r>
      <w:r w:rsidRPr="00837001">
        <w:rPr>
          <w:rStyle w:val="Emphasis"/>
          <w:rFonts w:ascii="Avenir Next LT Pro" w:hAnsi="Avenir Next LT Pro"/>
        </w:rPr>
        <w:t>Frontiers in Education</w:t>
      </w:r>
      <w:r w:rsidRPr="00837001">
        <w:rPr>
          <w:rFonts w:ascii="Avenir Next LT Pro" w:hAnsi="Avenir Next LT Pro"/>
        </w:rPr>
        <w:t xml:space="preserve">, 8, 949988. </w:t>
      </w:r>
      <w:hyperlink r:id="rId35" w:history="1">
        <w:r w:rsidRPr="00837001">
          <w:rPr>
            <w:rStyle w:val="Hyperlink"/>
            <w:rFonts w:ascii="Avenir Next LT Pro" w:hAnsi="Avenir Next LT Pro"/>
          </w:rPr>
          <w:t>https://doi.org/10.3389/feduc.2023.949988</w:t>
        </w:r>
      </w:hyperlink>
      <w:r w:rsidRPr="00837001">
        <w:rPr>
          <w:rFonts w:ascii="Avenir Next LT Pro" w:hAnsi="Avenir Next LT Pro"/>
        </w:rPr>
        <w:t xml:space="preserve"> </w:t>
      </w:r>
    </w:p>
    <w:p w14:paraId="31EBCB2F" w14:textId="77777777" w:rsidR="0075144A" w:rsidRPr="00837001" w:rsidRDefault="0075144A" w:rsidP="00B95F43">
      <w:pPr>
        <w:spacing w:after="120" w:line="240" w:lineRule="auto"/>
        <w:ind w:left="567" w:hanging="567"/>
        <w:jc w:val="both"/>
        <w:rPr>
          <w:rFonts w:ascii="Avenir Next LT Pro" w:hAnsi="Avenir Next LT Pro"/>
          <w:sz w:val="24"/>
          <w:szCs w:val="24"/>
        </w:rPr>
      </w:pPr>
    </w:p>
    <w:sectPr w:rsidR="0075144A" w:rsidRPr="00837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52FCB"/>
    <w:multiLevelType w:val="multilevel"/>
    <w:tmpl w:val="5AA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77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9A"/>
    <w:rsid w:val="00055320"/>
    <w:rsid w:val="00090A4D"/>
    <w:rsid w:val="00090DE6"/>
    <w:rsid w:val="00091CD8"/>
    <w:rsid w:val="000A51FA"/>
    <w:rsid w:val="000C394B"/>
    <w:rsid w:val="000D2A04"/>
    <w:rsid w:val="00102959"/>
    <w:rsid w:val="00112D30"/>
    <w:rsid w:val="00116C4E"/>
    <w:rsid w:val="00137EB2"/>
    <w:rsid w:val="0014026C"/>
    <w:rsid w:val="00153C11"/>
    <w:rsid w:val="00157234"/>
    <w:rsid w:val="00163DE6"/>
    <w:rsid w:val="001A29EE"/>
    <w:rsid w:val="001B4761"/>
    <w:rsid w:val="001B687F"/>
    <w:rsid w:val="001C0420"/>
    <w:rsid w:val="001C21D6"/>
    <w:rsid w:val="001D1134"/>
    <w:rsid w:val="001E11A9"/>
    <w:rsid w:val="001F6A4C"/>
    <w:rsid w:val="00210BA1"/>
    <w:rsid w:val="00216733"/>
    <w:rsid w:val="00232BE2"/>
    <w:rsid w:val="002347F1"/>
    <w:rsid w:val="0024498E"/>
    <w:rsid w:val="002652D0"/>
    <w:rsid w:val="002672C3"/>
    <w:rsid w:val="00285E77"/>
    <w:rsid w:val="002978FB"/>
    <w:rsid w:val="002B4727"/>
    <w:rsid w:val="002B6347"/>
    <w:rsid w:val="002C3C3E"/>
    <w:rsid w:val="002E5E41"/>
    <w:rsid w:val="00302DD0"/>
    <w:rsid w:val="00305318"/>
    <w:rsid w:val="00305B5A"/>
    <w:rsid w:val="003376F9"/>
    <w:rsid w:val="00381F5E"/>
    <w:rsid w:val="003E0C35"/>
    <w:rsid w:val="003E2306"/>
    <w:rsid w:val="004040A8"/>
    <w:rsid w:val="00416ED4"/>
    <w:rsid w:val="00461BE0"/>
    <w:rsid w:val="00462337"/>
    <w:rsid w:val="0046269A"/>
    <w:rsid w:val="004C0BBB"/>
    <w:rsid w:val="004C670E"/>
    <w:rsid w:val="004E3E92"/>
    <w:rsid w:val="00514EA8"/>
    <w:rsid w:val="00543E93"/>
    <w:rsid w:val="00550291"/>
    <w:rsid w:val="00554FEF"/>
    <w:rsid w:val="00564B62"/>
    <w:rsid w:val="005A153E"/>
    <w:rsid w:val="005D76AB"/>
    <w:rsid w:val="005E08D4"/>
    <w:rsid w:val="005E582F"/>
    <w:rsid w:val="005F2977"/>
    <w:rsid w:val="006031D5"/>
    <w:rsid w:val="00616734"/>
    <w:rsid w:val="006336AC"/>
    <w:rsid w:val="006363CE"/>
    <w:rsid w:val="00640F7C"/>
    <w:rsid w:val="0064140A"/>
    <w:rsid w:val="00643B85"/>
    <w:rsid w:val="00647B83"/>
    <w:rsid w:val="00655FD3"/>
    <w:rsid w:val="00663C4F"/>
    <w:rsid w:val="006660C2"/>
    <w:rsid w:val="006B49C4"/>
    <w:rsid w:val="006D2F0E"/>
    <w:rsid w:val="00711748"/>
    <w:rsid w:val="00712474"/>
    <w:rsid w:val="00724938"/>
    <w:rsid w:val="0075144A"/>
    <w:rsid w:val="00756FCB"/>
    <w:rsid w:val="00757700"/>
    <w:rsid w:val="00787DB2"/>
    <w:rsid w:val="00793072"/>
    <w:rsid w:val="007A361F"/>
    <w:rsid w:val="007B0B19"/>
    <w:rsid w:val="007D6ED8"/>
    <w:rsid w:val="007E0BA7"/>
    <w:rsid w:val="007E41CB"/>
    <w:rsid w:val="0081607B"/>
    <w:rsid w:val="008344A8"/>
    <w:rsid w:val="00837001"/>
    <w:rsid w:val="0084520B"/>
    <w:rsid w:val="00852765"/>
    <w:rsid w:val="00895ADF"/>
    <w:rsid w:val="008B756D"/>
    <w:rsid w:val="008C07B5"/>
    <w:rsid w:val="008F3A60"/>
    <w:rsid w:val="00921FA7"/>
    <w:rsid w:val="00924023"/>
    <w:rsid w:val="00925D1F"/>
    <w:rsid w:val="0097165C"/>
    <w:rsid w:val="009A3BB6"/>
    <w:rsid w:val="009C3278"/>
    <w:rsid w:val="009C5E32"/>
    <w:rsid w:val="009D47BD"/>
    <w:rsid w:val="009F276C"/>
    <w:rsid w:val="00A23BF6"/>
    <w:rsid w:val="00A60DA6"/>
    <w:rsid w:val="00A6407B"/>
    <w:rsid w:val="00A70B74"/>
    <w:rsid w:val="00A80282"/>
    <w:rsid w:val="00AA0069"/>
    <w:rsid w:val="00AD7AEF"/>
    <w:rsid w:val="00B01677"/>
    <w:rsid w:val="00B1541E"/>
    <w:rsid w:val="00B33ABE"/>
    <w:rsid w:val="00B375F3"/>
    <w:rsid w:val="00B4055A"/>
    <w:rsid w:val="00B5211A"/>
    <w:rsid w:val="00B70DF0"/>
    <w:rsid w:val="00B869F6"/>
    <w:rsid w:val="00B92FC6"/>
    <w:rsid w:val="00B95F43"/>
    <w:rsid w:val="00BE63C8"/>
    <w:rsid w:val="00BE7AE9"/>
    <w:rsid w:val="00C07AE6"/>
    <w:rsid w:val="00C16706"/>
    <w:rsid w:val="00C42E3C"/>
    <w:rsid w:val="00C60D4B"/>
    <w:rsid w:val="00C61DDD"/>
    <w:rsid w:val="00C63F95"/>
    <w:rsid w:val="00C65F9C"/>
    <w:rsid w:val="00C67FD3"/>
    <w:rsid w:val="00C7364F"/>
    <w:rsid w:val="00CD36C6"/>
    <w:rsid w:val="00CF0B0A"/>
    <w:rsid w:val="00CF42F9"/>
    <w:rsid w:val="00D1433F"/>
    <w:rsid w:val="00D334B7"/>
    <w:rsid w:val="00D34811"/>
    <w:rsid w:val="00D9475F"/>
    <w:rsid w:val="00D957D0"/>
    <w:rsid w:val="00E17353"/>
    <w:rsid w:val="00EA6C0B"/>
    <w:rsid w:val="00EB1986"/>
    <w:rsid w:val="00EB3190"/>
    <w:rsid w:val="00EC0C30"/>
    <w:rsid w:val="00EC38F7"/>
    <w:rsid w:val="00EE1EDA"/>
    <w:rsid w:val="00F0069F"/>
    <w:rsid w:val="00F302CB"/>
    <w:rsid w:val="00F532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02EA"/>
  <w15:chartTrackingRefBased/>
  <w15:docId w15:val="{AFA6AD86-3B65-4313-8A43-6B772259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60D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1673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211A"/>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DefaultParagraphFont"/>
    <w:uiPriority w:val="99"/>
    <w:unhideWhenUsed/>
    <w:rsid w:val="00B5211A"/>
    <w:rPr>
      <w:color w:val="0000FF"/>
      <w:u w:val="single"/>
    </w:rPr>
  </w:style>
  <w:style w:type="character" w:styleId="UnresolvedMention">
    <w:name w:val="Unresolved Mention"/>
    <w:basedOn w:val="DefaultParagraphFont"/>
    <w:uiPriority w:val="99"/>
    <w:semiHidden/>
    <w:unhideWhenUsed/>
    <w:rsid w:val="006660C2"/>
    <w:rPr>
      <w:color w:val="605E5C"/>
      <w:shd w:val="clear" w:color="auto" w:fill="E1DFDD"/>
    </w:rPr>
  </w:style>
  <w:style w:type="character" w:customStyle="1" w:styleId="in-toolbar">
    <w:name w:val="in-toolbar"/>
    <w:basedOn w:val="DefaultParagraphFont"/>
    <w:rsid w:val="00514EA8"/>
  </w:style>
  <w:style w:type="table" w:styleId="TableGrid">
    <w:name w:val="Table Grid"/>
    <w:basedOn w:val="TableNormal"/>
    <w:uiPriority w:val="39"/>
    <w:rsid w:val="00514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16733"/>
    <w:rPr>
      <w:rFonts w:ascii="Times New Roman" w:eastAsia="Times New Roman" w:hAnsi="Times New Roman" w:cs="Times New Roman"/>
      <w:b/>
      <w:bCs/>
      <w:kern w:val="0"/>
      <w:sz w:val="24"/>
      <w:szCs w:val="24"/>
      <w:lang w:eastAsia="en-ID"/>
      <w14:ligatures w14:val="none"/>
    </w:rPr>
  </w:style>
  <w:style w:type="character" w:styleId="Emphasis">
    <w:name w:val="Emphasis"/>
    <w:basedOn w:val="DefaultParagraphFont"/>
    <w:uiPriority w:val="20"/>
    <w:qFormat/>
    <w:rsid w:val="007E41CB"/>
    <w:rPr>
      <w:i/>
      <w:iCs/>
    </w:rPr>
  </w:style>
  <w:style w:type="table" w:customStyle="1" w:styleId="TableGrid1">
    <w:name w:val="Table Grid1"/>
    <w:basedOn w:val="TableNormal"/>
    <w:next w:val="TableGrid"/>
    <w:uiPriority w:val="39"/>
    <w:rsid w:val="006336AC"/>
    <w:pPr>
      <w:spacing w:after="0" w:line="240" w:lineRule="auto"/>
    </w:pPr>
    <w:rPr>
      <w:rFonts w:ascii="Calibri" w:eastAsia="Calibri" w:hAnsi="Calibri" w:cs="Calibri"/>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60D4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5464">
      <w:bodyDiv w:val="1"/>
      <w:marLeft w:val="0"/>
      <w:marRight w:val="0"/>
      <w:marTop w:val="0"/>
      <w:marBottom w:val="0"/>
      <w:divBdr>
        <w:top w:val="none" w:sz="0" w:space="0" w:color="auto"/>
        <w:left w:val="none" w:sz="0" w:space="0" w:color="auto"/>
        <w:bottom w:val="none" w:sz="0" w:space="0" w:color="auto"/>
        <w:right w:val="none" w:sz="0" w:space="0" w:color="auto"/>
      </w:divBdr>
      <w:divsChild>
        <w:div w:id="1858424190">
          <w:marLeft w:val="0"/>
          <w:marRight w:val="108"/>
          <w:marTop w:val="18"/>
          <w:marBottom w:val="108"/>
          <w:divBdr>
            <w:top w:val="none" w:sz="0" w:space="0" w:color="auto"/>
            <w:left w:val="none" w:sz="0" w:space="0" w:color="auto"/>
            <w:bottom w:val="none" w:sz="0" w:space="0" w:color="auto"/>
            <w:right w:val="none" w:sz="0" w:space="0" w:color="auto"/>
          </w:divBdr>
          <w:divsChild>
            <w:div w:id="619456568">
              <w:marLeft w:val="0"/>
              <w:marRight w:val="0"/>
              <w:marTop w:val="0"/>
              <w:marBottom w:val="0"/>
              <w:divBdr>
                <w:top w:val="none" w:sz="0" w:space="0" w:color="auto"/>
                <w:left w:val="none" w:sz="0" w:space="0" w:color="auto"/>
                <w:bottom w:val="none" w:sz="0" w:space="0" w:color="auto"/>
                <w:right w:val="none" w:sz="0" w:space="0" w:color="auto"/>
              </w:divBdr>
              <w:divsChild>
                <w:div w:id="13716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09107">
      <w:bodyDiv w:val="1"/>
      <w:marLeft w:val="0"/>
      <w:marRight w:val="0"/>
      <w:marTop w:val="0"/>
      <w:marBottom w:val="0"/>
      <w:divBdr>
        <w:top w:val="none" w:sz="0" w:space="0" w:color="auto"/>
        <w:left w:val="none" w:sz="0" w:space="0" w:color="auto"/>
        <w:bottom w:val="none" w:sz="0" w:space="0" w:color="auto"/>
        <w:right w:val="none" w:sz="0" w:space="0" w:color="auto"/>
      </w:divBdr>
    </w:div>
    <w:div w:id="659502821">
      <w:bodyDiv w:val="1"/>
      <w:marLeft w:val="0"/>
      <w:marRight w:val="0"/>
      <w:marTop w:val="0"/>
      <w:marBottom w:val="0"/>
      <w:divBdr>
        <w:top w:val="none" w:sz="0" w:space="0" w:color="auto"/>
        <w:left w:val="none" w:sz="0" w:space="0" w:color="auto"/>
        <w:bottom w:val="none" w:sz="0" w:space="0" w:color="auto"/>
        <w:right w:val="none" w:sz="0" w:space="0" w:color="auto"/>
      </w:divBdr>
      <w:divsChild>
        <w:div w:id="1849130461">
          <w:marLeft w:val="0"/>
          <w:marRight w:val="108"/>
          <w:marTop w:val="18"/>
          <w:marBottom w:val="108"/>
          <w:divBdr>
            <w:top w:val="none" w:sz="0" w:space="0" w:color="auto"/>
            <w:left w:val="none" w:sz="0" w:space="0" w:color="auto"/>
            <w:bottom w:val="none" w:sz="0" w:space="0" w:color="auto"/>
            <w:right w:val="none" w:sz="0" w:space="0" w:color="auto"/>
          </w:divBdr>
          <w:divsChild>
            <w:div w:id="886181715">
              <w:marLeft w:val="0"/>
              <w:marRight w:val="0"/>
              <w:marTop w:val="0"/>
              <w:marBottom w:val="0"/>
              <w:divBdr>
                <w:top w:val="none" w:sz="0" w:space="0" w:color="auto"/>
                <w:left w:val="none" w:sz="0" w:space="0" w:color="auto"/>
                <w:bottom w:val="none" w:sz="0" w:space="0" w:color="auto"/>
                <w:right w:val="none" w:sz="0" w:space="0" w:color="auto"/>
              </w:divBdr>
              <w:divsChild>
                <w:div w:id="1009675693">
                  <w:marLeft w:val="0"/>
                  <w:marRight w:val="0"/>
                  <w:marTop w:val="0"/>
                  <w:marBottom w:val="0"/>
                  <w:divBdr>
                    <w:top w:val="none" w:sz="0" w:space="0" w:color="auto"/>
                    <w:left w:val="none" w:sz="0" w:space="0" w:color="auto"/>
                    <w:bottom w:val="none" w:sz="0" w:space="0" w:color="auto"/>
                    <w:right w:val="none" w:sz="0" w:space="0" w:color="auto"/>
                  </w:divBdr>
                  <w:divsChild>
                    <w:div w:id="1258758724">
                      <w:marLeft w:val="0"/>
                      <w:marRight w:val="0"/>
                      <w:marTop w:val="0"/>
                      <w:marBottom w:val="0"/>
                      <w:divBdr>
                        <w:top w:val="none" w:sz="0" w:space="0" w:color="auto"/>
                        <w:left w:val="none" w:sz="0" w:space="0" w:color="auto"/>
                        <w:bottom w:val="none" w:sz="0" w:space="0" w:color="auto"/>
                        <w:right w:val="none" w:sz="0" w:space="0" w:color="auto"/>
                      </w:divBdr>
                      <w:divsChild>
                        <w:div w:id="19984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446098">
      <w:bodyDiv w:val="1"/>
      <w:marLeft w:val="0"/>
      <w:marRight w:val="0"/>
      <w:marTop w:val="0"/>
      <w:marBottom w:val="0"/>
      <w:divBdr>
        <w:top w:val="none" w:sz="0" w:space="0" w:color="auto"/>
        <w:left w:val="none" w:sz="0" w:space="0" w:color="auto"/>
        <w:bottom w:val="none" w:sz="0" w:space="0" w:color="auto"/>
        <w:right w:val="none" w:sz="0" w:space="0" w:color="auto"/>
      </w:divBdr>
    </w:div>
    <w:div w:id="895892916">
      <w:bodyDiv w:val="1"/>
      <w:marLeft w:val="0"/>
      <w:marRight w:val="0"/>
      <w:marTop w:val="0"/>
      <w:marBottom w:val="0"/>
      <w:divBdr>
        <w:top w:val="none" w:sz="0" w:space="0" w:color="auto"/>
        <w:left w:val="none" w:sz="0" w:space="0" w:color="auto"/>
        <w:bottom w:val="none" w:sz="0" w:space="0" w:color="auto"/>
        <w:right w:val="none" w:sz="0" w:space="0" w:color="auto"/>
      </w:divBdr>
      <w:divsChild>
        <w:div w:id="134109325">
          <w:marLeft w:val="0"/>
          <w:marRight w:val="108"/>
          <w:marTop w:val="108"/>
          <w:marBottom w:val="108"/>
          <w:divBdr>
            <w:top w:val="none" w:sz="0" w:space="0" w:color="auto"/>
            <w:left w:val="none" w:sz="0" w:space="0" w:color="auto"/>
            <w:bottom w:val="none" w:sz="0" w:space="0" w:color="auto"/>
            <w:right w:val="none" w:sz="0" w:space="0" w:color="auto"/>
          </w:divBdr>
          <w:divsChild>
            <w:div w:id="921260715">
              <w:marLeft w:val="0"/>
              <w:marRight w:val="0"/>
              <w:marTop w:val="0"/>
              <w:marBottom w:val="0"/>
              <w:divBdr>
                <w:top w:val="none" w:sz="0" w:space="0" w:color="auto"/>
                <w:left w:val="none" w:sz="0" w:space="0" w:color="auto"/>
                <w:bottom w:val="none" w:sz="0" w:space="0" w:color="auto"/>
                <w:right w:val="none" w:sz="0" w:space="0" w:color="auto"/>
              </w:divBdr>
              <w:divsChild>
                <w:div w:id="19167976">
                  <w:marLeft w:val="0"/>
                  <w:marRight w:val="0"/>
                  <w:marTop w:val="0"/>
                  <w:marBottom w:val="0"/>
                  <w:divBdr>
                    <w:top w:val="none" w:sz="0" w:space="0" w:color="auto"/>
                    <w:left w:val="none" w:sz="0" w:space="0" w:color="auto"/>
                    <w:bottom w:val="none" w:sz="0" w:space="0" w:color="auto"/>
                    <w:right w:val="none" w:sz="0" w:space="0" w:color="auto"/>
                  </w:divBdr>
                  <w:divsChild>
                    <w:div w:id="695543205">
                      <w:marLeft w:val="0"/>
                      <w:marRight w:val="0"/>
                      <w:marTop w:val="0"/>
                      <w:marBottom w:val="0"/>
                      <w:divBdr>
                        <w:top w:val="none" w:sz="0" w:space="0" w:color="auto"/>
                        <w:left w:val="none" w:sz="0" w:space="0" w:color="auto"/>
                        <w:bottom w:val="none" w:sz="0" w:space="0" w:color="auto"/>
                        <w:right w:val="none" w:sz="0" w:space="0" w:color="auto"/>
                      </w:divBdr>
                      <w:divsChild>
                        <w:div w:id="6769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15088">
      <w:bodyDiv w:val="1"/>
      <w:marLeft w:val="0"/>
      <w:marRight w:val="0"/>
      <w:marTop w:val="0"/>
      <w:marBottom w:val="0"/>
      <w:divBdr>
        <w:top w:val="none" w:sz="0" w:space="0" w:color="auto"/>
        <w:left w:val="none" w:sz="0" w:space="0" w:color="auto"/>
        <w:bottom w:val="none" w:sz="0" w:space="0" w:color="auto"/>
        <w:right w:val="none" w:sz="0" w:space="0" w:color="auto"/>
      </w:divBdr>
      <w:divsChild>
        <w:div w:id="980227972">
          <w:marLeft w:val="0"/>
          <w:marRight w:val="108"/>
          <w:marTop w:val="18"/>
          <w:marBottom w:val="108"/>
          <w:divBdr>
            <w:top w:val="none" w:sz="0" w:space="0" w:color="auto"/>
            <w:left w:val="none" w:sz="0" w:space="0" w:color="auto"/>
            <w:bottom w:val="none" w:sz="0" w:space="0" w:color="auto"/>
            <w:right w:val="none" w:sz="0" w:space="0" w:color="auto"/>
          </w:divBdr>
          <w:divsChild>
            <w:div w:id="1294826533">
              <w:marLeft w:val="0"/>
              <w:marRight w:val="0"/>
              <w:marTop w:val="0"/>
              <w:marBottom w:val="0"/>
              <w:divBdr>
                <w:top w:val="none" w:sz="0" w:space="0" w:color="auto"/>
                <w:left w:val="none" w:sz="0" w:space="0" w:color="auto"/>
                <w:bottom w:val="none" w:sz="0" w:space="0" w:color="auto"/>
                <w:right w:val="none" w:sz="0" w:space="0" w:color="auto"/>
              </w:divBdr>
              <w:divsChild>
                <w:div w:id="2011134359">
                  <w:marLeft w:val="0"/>
                  <w:marRight w:val="0"/>
                  <w:marTop w:val="0"/>
                  <w:marBottom w:val="0"/>
                  <w:divBdr>
                    <w:top w:val="none" w:sz="0" w:space="0" w:color="auto"/>
                    <w:left w:val="none" w:sz="0" w:space="0" w:color="auto"/>
                    <w:bottom w:val="none" w:sz="0" w:space="0" w:color="auto"/>
                    <w:right w:val="none" w:sz="0" w:space="0" w:color="auto"/>
                  </w:divBdr>
                  <w:divsChild>
                    <w:div w:id="24411442">
                      <w:marLeft w:val="0"/>
                      <w:marRight w:val="0"/>
                      <w:marTop w:val="0"/>
                      <w:marBottom w:val="0"/>
                      <w:divBdr>
                        <w:top w:val="none" w:sz="0" w:space="0" w:color="auto"/>
                        <w:left w:val="none" w:sz="0" w:space="0" w:color="auto"/>
                        <w:bottom w:val="none" w:sz="0" w:space="0" w:color="auto"/>
                        <w:right w:val="none" w:sz="0" w:space="0" w:color="auto"/>
                      </w:divBdr>
                      <w:divsChild>
                        <w:div w:id="146160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16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9781119987635.ch17" TargetMode="External"/><Relationship Id="rId18" Type="http://schemas.openxmlformats.org/officeDocument/2006/relationships/hyperlink" Target="https://doi.org/10.1007/978-3-031-18607-3_18" TargetMode="External"/><Relationship Id="rId26" Type="http://schemas.openxmlformats.org/officeDocument/2006/relationships/hyperlink" Target="https://doi.org/10.1002/sce.21862" TargetMode="External"/><Relationship Id="rId21" Type="http://schemas.openxmlformats.org/officeDocument/2006/relationships/hyperlink" Target="https://doi.org/10.1038/s41597-024-03206-2" TargetMode="External"/><Relationship Id="rId34" Type="http://schemas.openxmlformats.org/officeDocument/2006/relationships/hyperlink" Target="https://doi.org/10.1007/978-3-031-53382-2_5" TargetMode="External"/><Relationship Id="rId7" Type="http://schemas.openxmlformats.org/officeDocument/2006/relationships/hyperlink" Target="https://doi.org/10.1109/EDUCON54358.2023.10125271" TargetMode="External"/><Relationship Id="rId12" Type="http://schemas.openxmlformats.org/officeDocument/2006/relationships/hyperlink" Target="https://doi.org/10.1073/pnas.2216614120" TargetMode="External"/><Relationship Id="rId17" Type="http://schemas.openxmlformats.org/officeDocument/2006/relationships/hyperlink" Target="https://doi.org/10.1016/j.ultsonch.2024.106795" TargetMode="External"/><Relationship Id="rId25" Type="http://schemas.openxmlformats.org/officeDocument/2006/relationships/hyperlink" Target="https://doi.org/10.1080/02188791.2023.2231650" TargetMode="External"/><Relationship Id="rId33" Type="http://schemas.openxmlformats.org/officeDocument/2006/relationships/hyperlink" Target="https://doi.org/10.1088/1742-6596/2750/1/012013" TargetMode="External"/><Relationship Id="rId2" Type="http://schemas.openxmlformats.org/officeDocument/2006/relationships/styles" Target="styles.xml"/><Relationship Id="rId16" Type="http://schemas.openxmlformats.org/officeDocument/2006/relationships/hyperlink" Target="https://doi.org/10.1063/5.0107206" TargetMode="External"/><Relationship Id="rId20" Type="http://schemas.openxmlformats.org/officeDocument/2006/relationships/hyperlink" Target="https://doi.org/10.3390/su15065473" TargetMode="External"/><Relationship Id="rId29" Type="http://schemas.openxmlformats.org/officeDocument/2006/relationships/hyperlink" Target="https://doi.org/10.1088/1402-4896/ad302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109/InCULT59088.2023.10482478" TargetMode="External"/><Relationship Id="rId24" Type="http://schemas.openxmlformats.org/officeDocument/2006/relationships/hyperlink" Target="https://doi.org/10.3389/fpsyg.2022.1063525" TargetMode="External"/><Relationship Id="rId32" Type="http://schemas.openxmlformats.org/officeDocument/2006/relationships/hyperlink" Target="https://doi.org/10.1088/1361-6404/ad230f" TargetMode="External"/><Relationship Id="rId37" Type="http://schemas.openxmlformats.org/officeDocument/2006/relationships/theme" Target="theme/theme1.xml"/><Relationship Id="rId5" Type="http://schemas.openxmlformats.org/officeDocument/2006/relationships/hyperlink" Target="mailto:nevi.ernita@uinmataram.ac.id" TargetMode="External"/><Relationship Id="rId15" Type="http://schemas.openxmlformats.org/officeDocument/2006/relationships/hyperlink" Target="https://doi.org/10.1063/5.0210640" TargetMode="External"/><Relationship Id="rId23" Type="http://schemas.openxmlformats.org/officeDocument/2006/relationships/hyperlink" Target="https://doi.org/10.1063/5.0122805" TargetMode="External"/><Relationship Id="rId28" Type="http://schemas.openxmlformats.org/officeDocument/2006/relationships/hyperlink" Target="https://doi.org/10.1109/LWMOOCS58322.2023.10305720" TargetMode="External"/><Relationship Id="rId36" Type="http://schemas.openxmlformats.org/officeDocument/2006/relationships/fontTable" Target="fontTable.xml"/><Relationship Id="rId10" Type="http://schemas.openxmlformats.org/officeDocument/2006/relationships/hyperlink" Target="https://doi.org/10.1145/3606305.3606334" TargetMode="External"/><Relationship Id="rId19" Type="http://schemas.openxmlformats.org/officeDocument/2006/relationships/hyperlink" Target="https://doi.org/10.1063/5.0133836" TargetMode="External"/><Relationship Id="rId31" Type="http://schemas.openxmlformats.org/officeDocument/2006/relationships/hyperlink" Target="https://doi.org/10.1016/j.ijme.2023.100899" TargetMode="External"/><Relationship Id="rId4" Type="http://schemas.openxmlformats.org/officeDocument/2006/relationships/webSettings" Target="webSettings.xml"/><Relationship Id="rId9" Type="http://schemas.openxmlformats.org/officeDocument/2006/relationships/hyperlink" Target="https://doi.org/10.22323/1.427.0244" TargetMode="External"/><Relationship Id="rId14" Type="http://schemas.openxmlformats.org/officeDocument/2006/relationships/hyperlink" Target="https://doi.org/10.30775/KMES.52.4.155" TargetMode="External"/><Relationship Id="rId22" Type="http://schemas.openxmlformats.org/officeDocument/2006/relationships/hyperlink" Target="https://doi.org/10.1016/j.ijme.2023.100899" TargetMode="External"/><Relationship Id="rId27" Type="http://schemas.openxmlformats.org/officeDocument/2006/relationships/hyperlink" Target="https://doi.org/10.12973/ijem.9.2.333" TargetMode="External"/><Relationship Id="rId30" Type="http://schemas.openxmlformats.org/officeDocument/2006/relationships/hyperlink" Target="https://doi.org/10.1063/5.0210424" TargetMode="External"/><Relationship Id="rId35" Type="http://schemas.openxmlformats.org/officeDocument/2006/relationships/hyperlink" Target="https://doi.org/10.3389/feduc.2023.949988" TargetMode="External"/><Relationship Id="rId8" Type="http://schemas.openxmlformats.org/officeDocument/2006/relationships/hyperlink" Target="https://doi.org/10.1063/5.013025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13</Pages>
  <Words>5826</Words>
  <Characters>33213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S_Prayogi</dc:creator>
  <cp:keywords/>
  <dc:description/>
  <cp:lastModifiedBy>HP</cp:lastModifiedBy>
  <cp:revision>156</cp:revision>
  <dcterms:created xsi:type="dcterms:W3CDTF">2024-06-23T11:20:00Z</dcterms:created>
  <dcterms:modified xsi:type="dcterms:W3CDTF">2024-06-24T08:36:00Z</dcterms:modified>
</cp:coreProperties>
</file>